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63E2" w14:textId="1326DB20" w:rsidR="00927D0C" w:rsidRPr="00E263B9" w:rsidRDefault="00927D0C" w:rsidP="00FD70EA">
      <w:pPr>
        <w:jc w:val="center"/>
        <w:rPr>
          <w:rFonts w:ascii="Times New Roman" w:hAnsi="Times New Roman" w:cs="Times New Roman"/>
          <w:b/>
          <w:bCs/>
          <w:sz w:val="20"/>
          <w:szCs w:val="20"/>
        </w:rPr>
      </w:pPr>
      <w:r w:rsidRPr="00E263B9">
        <w:rPr>
          <w:rFonts w:ascii="Times New Roman" w:hAnsi="Times New Roman" w:cs="Times New Roman"/>
          <w:b/>
          <w:bCs/>
          <w:sz w:val="20"/>
          <w:szCs w:val="20"/>
        </w:rPr>
        <w:t>Special Terms Addendum to Rental Agreement</w:t>
      </w:r>
    </w:p>
    <w:p w14:paraId="2441AE7E" w14:textId="2D9ECB93" w:rsidR="00927D0C" w:rsidRPr="00E263B9" w:rsidRDefault="00927D0C" w:rsidP="00927D0C">
      <w:pPr>
        <w:rPr>
          <w:rFonts w:ascii="Times New Roman" w:hAnsi="Times New Roman" w:cs="Times New Roman"/>
          <w:sz w:val="20"/>
          <w:szCs w:val="20"/>
        </w:rPr>
      </w:pPr>
      <w:r w:rsidRPr="00E263B9">
        <w:rPr>
          <w:rFonts w:ascii="Times New Roman" w:hAnsi="Times New Roman" w:cs="Times New Roman"/>
          <w:sz w:val="20"/>
          <w:szCs w:val="20"/>
        </w:rPr>
        <w:t xml:space="preserve">This Addendum is attached to and made a part of the Rental Agreement dated ____________________ between Landlord and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w:t>
      </w:r>
    </w:p>
    <w:p w14:paraId="06CFE601" w14:textId="23CBBDB1" w:rsidR="00927D0C" w:rsidRPr="00E263B9" w:rsidRDefault="00927D0C" w:rsidP="00927D0C">
      <w:pPr>
        <w:rPr>
          <w:rFonts w:ascii="Times New Roman" w:hAnsi="Times New Roman" w:cs="Times New Roman"/>
          <w:sz w:val="20"/>
          <w:szCs w:val="20"/>
        </w:rPr>
      </w:pPr>
      <w:r w:rsidRPr="00E263B9">
        <w:rPr>
          <w:rFonts w:ascii="Times New Roman" w:hAnsi="Times New Roman" w:cs="Times New Roman"/>
          <w:sz w:val="20"/>
          <w:szCs w:val="20"/>
        </w:rPr>
        <w:t>In the event of any conflict between this Addendum and the Rental Agreement, the terms of this Addendum shall prevail unless prohibited by Hawaii law (HRS Chapter 521, Residential Landlord-</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Code).</w:t>
      </w:r>
    </w:p>
    <w:p w14:paraId="7095C333" w14:textId="4CA2F410" w:rsidR="00605AEA" w:rsidRPr="00E263B9" w:rsidRDefault="00FD70EA" w:rsidP="00927D0C">
      <w:pPr>
        <w:rPr>
          <w:rFonts w:ascii="Times New Roman" w:hAnsi="Times New Roman" w:cs="Times New Roman"/>
          <w:sz w:val="20"/>
          <w:szCs w:val="20"/>
        </w:rPr>
      </w:pPr>
      <w:r w:rsidRPr="00E263B9">
        <w:rPr>
          <w:rFonts w:ascii="Times New Roman" w:hAnsi="Times New Roman" w:cs="Times New Roman"/>
          <w:sz w:val="20"/>
          <w:szCs w:val="20"/>
        </w:rPr>
        <w:t xml:space="preserve">Violation of any term in this Addendum may result in termination of the </w:t>
      </w:r>
      <w:r w:rsidR="00B802CC">
        <w:rPr>
          <w:rFonts w:ascii="Times New Roman" w:hAnsi="Times New Roman" w:cs="Times New Roman"/>
          <w:sz w:val="20"/>
          <w:szCs w:val="20"/>
        </w:rPr>
        <w:t>Rental</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A</w:t>
      </w:r>
      <w:r w:rsidRPr="00E263B9">
        <w:rPr>
          <w:rFonts w:ascii="Times New Roman" w:hAnsi="Times New Roman" w:cs="Times New Roman"/>
          <w:sz w:val="20"/>
          <w:szCs w:val="20"/>
        </w:rPr>
        <w:t>greement, subject to the notice and cure provisions outlined in the Rental Agreement and Hawaii law (HRS Chapter 521).</w:t>
      </w:r>
    </w:p>
    <w:tbl>
      <w:tblPr>
        <w:tblStyle w:val="TableGrid"/>
        <w:tblW w:w="0" w:type="auto"/>
        <w:tblLook w:val="04A0" w:firstRow="1" w:lastRow="0" w:firstColumn="1" w:lastColumn="0" w:noHBand="0" w:noVBand="1"/>
      </w:tblPr>
      <w:tblGrid>
        <w:gridCol w:w="1525"/>
        <w:gridCol w:w="540"/>
        <w:gridCol w:w="450"/>
        <w:gridCol w:w="720"/>
        <w:gridCol w:w="450"/>
        <w:gridCol w:w="720"/>
        <w:gridCol w:w="6385"/>
      </w:tblGrid>
      <w:tr w:rsidR="00232E85" w:rsidRPr="006379A6" w14:paraId="3B1253FE" w14:textId="77777777" w:rsidTr="00232E85">
        <w:tc>
          <w:tcPr>
            <w:tcW w:w="10790" w:type="dxa"/>
            <w:gridSpan w:val="7"/>
          </w:tcPr>
          <w:p w14:paraId="0D6D6129" w14:textId="3AE5DA89" w:rsidR="00232E85" w:rsidRPr="006379A6" w:rsidRDefault="00232E85" w:rsidP="00232E85">
            <w:pPr>
              <w:jc w:val="center"/>
              <w:rPr>
                <w:rFonts w:ascii="Times New Roman" w:hAnsi="Times New Roman" w:cs="Times New Roman"/>
                <w:b/>
                <w:bCs/>
                <w:sz w:val="16"/>
                <w:szCs w:val="16"/>
              </w:rPr>
            </w:pPr>
            <w:r>
              <w:rPr>
                <w:rFonts w:ascii="Times New Roman" w:hAnsi="Times New Roman" w:cs="Times New Roman"/>
                <w:b/>
                <w:bCs/>
                <w:sz w:val="16"/>
                <w:szCs w:val="16"/>
              </w:rPr>
              <w:t>SUMMARY OF PROPERTY INFORMATION</w:t>
            </w:r>
          </w:p>
        </w:tc>
      </w:tr>
      <w:tr w:rsidR="00232E85" w:rsidRPr="006379A6" w14:paraId="7F1C272A" w14:textId="77777777" w:rsidTr="00232E85">
        <w:tc>
          <w:tcPr>
            <w:tcW w:w="2065" w:type="dxa"/>
            <w:gridSpan w:val="2"/>
            <w:vAlign w:val="center"/>
          </w:tcPr>
          <w:p w14:paraId="492D10BD" w14:textId="738ABD11" w:rsidR="00232E85" w:rsidRPr="00232E85" w:rsidRDefault="00232E85" w:rsidP="00232E85">
            <w:pPr>
              <w:jc w:val="center"/>
              <w:rPr>
                <w:rFonts w:ascii="Times New Roman" w:hAnsi="Times New Roman" w:cs="Times New Roman"/>
                <w:sz w:val="16"/>
                <w:szCs w:val="16"/>
                <w:u w:val="single"/>
              </w:rPr>
            </w:pPr>
            <w:r w:rsidRPr="00232E85">
              <w:rPr>
                <w:rFonts w:ascii="Times New Roman" w:hAnsi="Times New Roman" w:cs="Times New Roman"/>
                <w:sz w:val="16"/>
                <w:szCs w:val="16"/>
                <w:u w:val="single"/>
              </w:rPr>
              <w:t>Info</w:t>
            </w:r>
          </w:p>
        </w:tc>
        <w:tc>
          <w:tcPr>
            <w:tcW w:w="8725" w:type="dxa"/>
            <w:gridSpan w:val="5"/>
          </w:tcPr>
          <w:p w14:paraId="60E7F7DA" w14:textId="086A88FA" w:rsidR="00232E85" w:rsidRPr="006379A6" w:rsidRDefault="00232E85" w:rsidP="006379A6">
            <w:pPr>
              <w:jc w:val="center"/>
              <w:rPr>
                <w:rFonts w:ascii="Times New Roman" w:hAnsi="Times New Roman" w:cs="Times New Roman"/>
                <w:sz w:val="16"/>
                <w:szCs w:val="16"/>
                <w:u w:val="single"/>
              </w:rPr>
            </w:pPr>
            <w:r w:rsidRPr="006379A6">
              <w:rPr>
                <w:rFonts w:ascii="Times New Roman" w:hAnsi="Times New Roman" w:cs="Times New Roman"/>
                <w:sz w:val="16"/>
                <w:szCs w:val="16"/>
                <w:u w:val="single"/>
              </w:rPr>
              <w:t>Info</w:t>
            </w:r>
          </w:p>
        </w:tc>
      </w:tr>
      <w:tr w:rsidR="00232E85" w:rsidRPr="006379A6" w14:paraId="026D83D5" w14:textId="77777777" w:rsidTr="00232E85">
        <w:tc>
          <w:tcPr>
            <w:tcW w:w="2065" w:type="dxa"/>
            <w:gridSpan w:val="2"/>
            <w:vAlign w:val="center"/>
          </w:tcPr>
          <w:p w14:paraId="761782AC" w14:textId="4B32D863" w:rsidR="00232E85" w:rsidRPr="006379A6" w:rsidRDefault="00232E85" w:rsidP="006379A6">
            <w:pPr>
              <w:rPr>
                <w:rFonts w:ascii="Times New Roman" w:hAnsi="Times New Roman" w:cs="Times New Roman"/>
                <w:b/>
                <w:bCs/>
                <w:sz w:val="16"/>
                <w:szCs w:val="16"/>
              </w:rPr>
            </w:pPr>
            <w:r w:rsidRPr="006379A6">
              <w:rPr>
                <w:rFonts w:ascii="Times New Roman" w:hAnsi="Times New Roman" w:cs="Times New Roman"/>
                <w:color w:val="000000"/>
                <w:sz w:val="16"/>
                <w:szCs w:val="16"/>
              </w:rPr>
              <w:t>Alarm Code</w:t>
            </w:r>
          </w:p>
        </w:tc>
        <w:tc>
          <w:tcPr>
            <w:tcW w:w="8725" w:type="dxa"/>
            <w:gridSpan w:val="5"/>
          </w:tcPr>
          <w:p w14:paraId="7EFCE975" w14:textId="77777777" w:rsidR="00232E85" w:rsidRPr="006379A6" w:rsidRDefault="00232E85" w:rsidP="006379A6">
            <w:pPr>
              <w:rPr>
                <w:rFonts w:ascii="Times New Roman" w:hAnsi="Times New Roman" w:cs="Times New Roman"/>
                <w:b/>
                <w:bCs/>
                <w:sz w:val="16"/>
                <w:szCs w:val="16"/>
              </w:rPr>
            </w:pPr>
          </w:p>
        </w:tc>
      </w:tr>
      <w:tr w:rsidR="00232E85" w:rsidRPr="006379A6" w14:paraId="55713F9B" w14:textId="77777777" w:rsidTr="00232E85">
        <w:tc>
          <w:tcPr>
            <w:tcW w:w="2065" w:type="dxa"/>
            <w:gridSpan w:val="2"/>
            <w:vAlign w:val="center"/>
          </w:tcPr>
          <w:p w14:paraId="3E6728BE" w14:textId="78A43331" w:rsidR="00232E85" w:rsidRPr="006379A6" w:rsidRDefault="00232E85" w:rsidP="006379A6">
            <w:pPr>
              <w:rPr>
                <w:rFonts w:ascii="Times New Roman" w:hAnsi="Times New Roman" w:cs="Times New Roman"/>
                <w:b/>
                <w:bCs/>
                <w:sz w:val="16"/>
                <w:szCs w:val="16"/>
              </w:rPr>
            </w:pPr>
            <w:r w:rsidRPr="006379A6">
              <w:rPr>
                <w:rFonts w:ascii="Times New Roman" w:hAnsi="Times New Roman" w:cs="Times New Roman"/>
                <w:color w:val="000000"/>
                <w:sz w:val="16"/>
                <w:szCs w:val="16"/>
              </w:rPr>
              <w:t>Circuit Breaker(s) Location</w:t>
            </w:r>
          </w:p>
        </w:tc>
        <w:tc>
          <w:tcPr>
            <w:tcW w:w="8725" w:type="dxa"/>
            <w:gridSpan w:val="5"/>
          </w:tcPr>
          <w:p w14:paraId="1692DADE" w14:textId="77777777" w:rsidR="00232E85" w:rsidRPr="006379A6" w:rsidRDefault="00232E85" w:rsidP="006379A6">
            <w:pPr>
              <w:rPr>
                <w:rFonts w:ascii="Times New Roman" w:hAnsi="Times New Roman" w:cs="Times New Roman"/>
                <w:b/>
                <w:bCs/>
                <w:sz w:val="16"/>
                <w:szCs w:val="16"/>
              </w:rPr>
            </w:pPr>
          </w:p>
        </w:tc>
      </w:tr>
      <w:tr w:rsidR="00232E85" w:rsidRPr="006379A6" w14:paraId="3ED73C4C" w14:textId="77777777" w:rsidTr="00232E85">
        <w:tc>
          <w:tcPr>
            <w:tcW w:w="2065" w:type="dxa"/>
            <w:gridSpan w:val="2"/>
            <w:vAlign w:val="center"/>
          </w:tcPr>
          <w:p w14:paraId="74A20023" w14:textId="4E4CC7DA" w:rsidR="00232E85" w:rsidRPr="006379A6" w:rsidRDefault="00232E85" w:rsidP="006379A6">
            <w:pPr>
              <w:rPr>
                <w:rFonts w:ascii="Times New Roman" w:hAnsi="Times New Roman" w:cs="Times New Roman"/>
                <w:b/>
                <w:bCs/>
                <w:sz w:val="16"/>
                <w:szCs w:val="16"/>
              </w:rPr>
            </w:pPr>
            <w:r w:rsidRPr="006379A6">
              <w:rPr>
                <w:rFonts w:ascii="Times New Roman" w:hAnsi="Times New Roman" w:cs="Times New Roman"/>
                <w:color w:val="000000"/>
                <w:sz w:val="16"/>
                <w:szCs w:val="16"/>
              </w:rPr>
              <w:t>Community Gate Code</w:t>
            </w:r>
          </w:p>
        </w:tc>
        <w:tc>
          <w:tcPr>
            <w:tcW w:w="8725" w:type="dxa"/>
            <w:gridSpan w:val="5"/>
          </w:tcPr>
          <w:p w14:paraId="05EC2EF6" w14:textId="77777777" w:rsidR="00232E85" w:rsidRPr="006379A6" w:rsidRDefault="00232E85" w:rsidP="006379A6">
            <w:pPr>
              <w:rPr>
                <w:rFonts w:ascii="Times New Roman" w:hAnsi="Times New Roman" w:cs="Times New Roman"/>
                <w:b/>
                <w:bCs/>
                <w:sz w:val="16"/>
                <w:szCs w:val="16"/>
              </w:rPr>
            </w:pPr>
          </w:p>
        </w:tc>
      </w:tr>
      <w:tr w:rsidR="00232E85" w:rsidRPr="006379A6" w14:paraId="629EBF9A" w14:textId="77777777" w:rsidTr="00232E85">
        <w:tc>
          <w:tcPr>
            <w:tcW w:w="2065" w:type="dxa"/>
            <w:gridSpan w:val="2"/>
            <w:vAlign w:val="center"/>
          </w:tcPr>
          <w:p w14:paraId="6230FB0F" w14:textId="729BC2FE" w:rsidR="00232E85" w:rsidRPr="006379A6" w:rsidRDefault="00232E85" w:rsidP="006379A6">
            <w:pPr>
              <w:rPr>
                <w:rFonts w:ascii="Times New Roman" w:hAnsi="Times New Roman" w:cs="Times New Roman"/>
                <w:b/>
                <w:bCs/>
                <w:sz w:val="16"/>
                <w:szCs w:val="16"/>
              </w:rPr>
            </w:pPr>
            <w:r w:rsidRPr="006379A6">
              <w:rPr>
                <w:rFonts w:ascii="Times New Roman" w:hAnsi="Times New Roman" w:cs="Times New Roman"/>
                <w:color w:val="000000"/>
                <w:sz w:val="16"/>
                <w:szCs w:val="16"/>
              </w:rPr>
              <w:t>Front Door Code</w:t>
            </w:r>
          </w:p>
        </w:tc>
        <w:tc>
          <w:tcPr>
            <w:tcW w:w="8725" w:type="dxa"/>
            <w:gridSpan w:val="5"/>
          </w:tcPr>
          <w:p w14:paraId="0C1C6B49" w14:textId="77777777" w:rsidR="00232E85" w:rsidRPr="006379A6" w:rsidRDefault="00232E85" w:rsidP="006379A6">
            <w:pPr>
              <w:rPr>
                <w:rFonts w:ascii="Times New Roman" w:hAnsi="Times New Roman" w:cs="Times New Roman"/>
                <w:b/>
                <w:bCs/>
                <w:sz w:val="16"/>
                <w:szCs w:val="16"/>
              </w:rPr>
            </w:pPr>
          </w:p>
        </w:tc>
      </w:tr>
      <w:tr w:rsidR="00232E85" w:rsidRPr="006379A6" w14:paraId="0E44CC41" w14:textId="77777777" w:rsidTr="00232E85">
        <w:tc>
          <w:tcPr>
            <w:tcW w:w="2065" w:type="dxa"/>
            <w:gridSpan w:val="2"/>
            <w:vAlign w:val="center"/>
          </w:tcPr>
          <w:p w14:paraId="7F296490" w14:textId="5C949171" w:rsidR="00232E85" w:rsidRPr="006379A6" w:rsidRDefault="00232E85" w:rsidP="006379A6">
            <w:pPr>
              <w:rPr>
                <w:rFonts w:ascii="Times New Roman" w:hAnsi="Times New Roman" w:cs="Times New Roman"/>
                <w:b/>
                <w:bCs/>
                <w:sz w:val="16"/>
                <w:szCs w:val="16"/>
              </w:rPr>
            </w:pPr>
            <w:r w:rsidRPr="006379A6">
              <w:rPr>
                <w:rFonts w:ascii="Times New Roman" w:hAnsi="Times New Roman" w:cs="Times New Roman"/>
                <w:color w:val="000000"/>
                <w:sz w:val="16"/>
                <w:szCs w:val="16"/>
              </w:rPr>
              <w:t>Garage Gate Code</w:t>
            </w:r>
          </w:p>
        </w:tc>
        <w:tc>
          <w:tcPr>
            <w:tcW w:w="8725" w:type="dxa"/>
            <w:gridSpan w:val="5"/>
          </w:tcPr>
          <w:p w14:paraId="7203DE8C" w14:textId="77777777" w:rsidR="00232E85" w:rsidRPr="006379A6" w:rsidRDefault="00232E85" w:rsidP="006379A6">
            <w:pPr>
              <w:rPr>
                <w:rFonts w:ascii="Times New Roman" w:hAnsi="Times New Roman" w:cs="Times New Roman"/>
                <w:b/>
                <w:bCs/>
                <w:sz w:val="16"/>
                <w:szCs w:val="16"/>
              </w:rPr>
            </w:pPr>
          </w:p>
        </w:tc>
      </w:tr>
      <w:tr w:rsidR="00232E85" w:rsidRPr="006379A6" w14:paraId="70D03A9A" w14:textId="77777777" w:rsidTr="00232E85">
        <w:tc>
          <w:tcPr>
            <w:tcW w:w="2065" w:type="dxa"/>
            <w:gridSpan w:val="2"/>
            <w:vAlign w:val="center"/>
          </w:tcPr>
          <w:p w14:paraId="005C9184" w14:textId="4A9C8FF7" w:rsidR="00232E85" w:rsidRPr="006379A6" w:rsidRDefault="00232E85" w:rsidP="006379A6">
            <w:pPr>
              <w:rPr>
                <w:rFonts w:ascii="Times New Roman" w:hAnsi="Times New Roman" w:cs="Times New Roman"/>
                <w:b/>
                <w:bCs/>
                <w:sz w:val="16"/>
                <w:szCs w:val="16"/>
              </w:rPr>
            </w:pPr>
            <w:r w:rsidRPr="006379A6">
              <w:rPr>
                <w:rFonts w:ascii="Times New Roman" w:hAnsi="Times New Roman" w:cs="Times New Roman"/>
                <w:color w:val="000000"/>
                <w:sz w:val="16"/>
                <w:szCs w:val="16"/>
              </w:rPr>
              <w:t>Gas Shutoff Location</w:t>
            </w:r>
          </w:p>
        </w:tc>
        <w:tc>
          <w:tcPr>
            <w:tcW w:w="8725" w:type="dxa"/>
            <w:gridSpan w:val="5"/>
          </w:tcPr>
          <w:p w14:paraId="7A471565" w14:textId="77777777" w:rsidR="00232E85" w:rsidRPr="006379A6" w:rsidRDefault="00232E85" w:rsidP="006379A6">
            <w:pPr>
              <w:rPr>
                <w:rFonts w:ascii="Times New Roman" w:hAnsi="Times New Roman" w:cs="Times New Roman"/>
                <w:b/>
                <w:bCs/>
                <w:sz w:val="16"/>
                <w:szCs w:val="16"/>
              </w:rPr>
            </w:pPr>
          </w:p>
        </w:tc>
      </w:tr>
      <w:tr w:rsidR="00232E85" w:rsidRPr="006379A6" w14:paraId="5151D9F4" w14:textId="77777777" w:rsidTr="00232E85">
        <w:tc>
          <w:tcPr>
            <w:tcW w:w="2065" w:type="dxa"/>
            <w:gridSpan w:val="2"/>
            <w:vAlign w:val="center"/>
          </w:tcPr>
          <w:p w14:paraId="0767F584" w14:textId="734BD07E" w:rsidR="00232E85" w:rsidRPr="006379A6" w:rsidRDefault="00232E85" w:rsidP="006379A6">
            <w:pPr>
              <w:rPr>
                <w:rFonts w:ascii="Times New Roman" w:hAnsi="Times New Roman" w:cs="Times New Roman"/>
                <w:b/>
                <w:bCs/>
                <w:sz w:val="16"/>
                <w:szCs w:val="16"/>
              </w:rPr>
            </w:pPr>
            <w:r w:rsidRPr="006379A6">
              <w:rPr>
                <w:rFonts w:ascii="Times New Roman" w:hAnsi="Times New Roman" w:cs="Times New Roman"/>
                <w:color w:val="000000"/>
                <w:sz w:val="16"/>
                <w:szCs w:val="16"/>
              </w:rPr>
              <w:t>Lockbox Code</w:t>
            </w:r>
          </w:p>
        </w:tc>
        <w:tc>
          <w:tcPr>
            <w:tcW w:w="8725" w:type="dxa"/>
            <w:gridSpan w:val="5"/>
          </w:tcPr>
          <w:p w14:paraId="3A4281C0" w14:textId="77777777" w:rsidR="00232E85" w:rsidRPr="006379A6" w:rsidRDefault="00232E85" w:rsidP="006379A6">
            <w:pPr>
              <w:rPr>
                <w:rFonts w:ascii="Times New Roman" w:hAnsi="Times New Roman" w:cs="Times New Roman"/>
                <w:b/>
                <w:bCs/>
                <w:sz w:val="16"/>
                <w:szCs w:val="16"/>
              </w:rPr>
            </w:pPr>
          </w:p>
        </w:tc>
      </w:tr>
      <w:tr w:rsidR="00232E85" w:rsidRPr="006379A6" w14:paraId="6F19D7C0" w14:textId="77777777" w:rsidTr="00232E85">
        <w:tc>
          <w:tcPr>
            <w:tcW w:w="2065" w:type="dxa"/>
            <w:gridSpan w:val="2"/>
            <w:vAlign w:val="center"/>
          </w:tcPr>
          <w:p w14:paraId="4C2349F8" w14:textId="3E8A62D7" w:rsidR="00232E85" w:rsidRPr="006379A6" w:rsidRDefault="00232E85" w:rsidP="006379A6">
            <w:pPr>
              <w:rPr>
                <w:rFonts w:ascii="Times New Roman" w:hAnsi="Times New Roman" w:cs="Times New Roman"/>
                <w:b/>
                <w:bCs/>
                <w:sz w:val="16"/>
                <w:szCs w:val="16"/>
              </w:rPr>
            </w:pPr>
            <w:r w:rsidRPr="006379A6">
              <w:rPr>
                <w:rFonts w:ascii="Times New Roman" w:hAnsi="Times New Roman" w:cs="Times New Roman"/>
                <w:color w:val="000000"/>
                <w:sz w:val="16"/>
                <w:szCs w:val="16"/>
              </w:rPr>
              <w:t>Mailbox Location/#’s</w:t>
            </w:r>
          </w:p>
        </w:tc>
        <w:tc>
          <w:tcPr>
            <w:tcW w:w="8725" w:type="dxa"/>
            <w:gridSpan w:val="5"/>
          </w:tcPr>
          <w:p w14:paraId="00D99141" w14:textId="77777777" w:rsidR="00232E85" w:rsidRPr="006379A6" w:rsidRDefault="00232E85" w:rsidP="006379A6">
            <w:pPr>
              <w:rPr>
                <w:rFonts w:ascii="Times New Roman" w:hAnsi="Times New Roman" w:cs="Times New Roman"/>
                <w:b/>
                <w:bCs/>
                <w:sz w:val="16"/>
                <w:szCs w:val="16"/>
              </w:rPr>
            </w:pPr>
          </w:p>
        </w:tc>
      </w:tr>
      <w:tr w:rsidR="00232E85" w:rsidRPr="006379A6" w14:paraId="1328F886" w14:textId="77777777" w:rsidTr="00232E85">
        <w:tc>
          <w:tcPr>
            <w:tcW w:w="2065" w:type="dxa"/>
            <w:gridSpan w:val="2"/>
            <w:vAlign w:val="center"/>
          </w:tcPr>
          <w:p w14:paraId="4D76DC02" w14:textId="5DFEAFB0" w:rsidR="00232E85" w:rsidRPr="006379A6" w:rsidRDefault="00232E85" w:rsidP="006379A6">
            <w:pPr>
              <w:rPr>
                <w:rFonts w:ascii="Times New Roman" w:hAnsi="Times New Roman" w:cs="Times New Roman"/>
                <w:b/>
                <w:bCs/>
                <w:sz w:val="16"/>
                <w:szCs w:val="16"/>
              </w:rPr>
            </w:pPr>
            <w:r w:rsidRPr="006379A6">
              <w:rPr>
                <w:rFonts w:ascii="Times New Roman" w:hAnsi="Times New Roman" w:cs="Times New Roman"/>
                <w:color w:val="000000"/>
                <w:sz w:val="16"/>
                <w:szCs w:val="16"/>
              </w:rPr>
              <w:t>Parking Type/Location/#’s</w:t>
            </w:r>
          </w:p>
        </w:tc>
        <w:tc>
          <w:tcPr>
            <w:tcW w:w="8725" w:type="dxa"/>
            <w:gridSpan w:val="5"/>
          </w:tcPr>
          <w:p w14:paraId="63E30AEC" w14:textId="77777777" w:rsidR="00232E85" w:rsidRPr="006379A6" w:rsidRDefault="00232E85" w:rsidP="006379A6">
            <w:pPr>
              <w:rPr>
                <w:rFonts w:ascii="Times New Roman" w:hAnsi="Times New Roman" w:cs="Times New Roman"/>
                <w:b/>
                <w:bCs/>
                <w:sz w:val="16"/>
                <w:szCs w:val="16"/>
              </w:rPr>
            </w:pPr>
          </w:p>
        </w:tc>
      </w:tr>
      <w:tr w:rsidR="00232E85" w:rsidRPr="006379A6" w14:paraId="214A263C" w14:textId="77777777" w:rsidTr="00232E85">
        <w:tc>
          <w:tcPr>
            <w:tcW w:w="2065" w:type="dxa"/>
            <w:gridSpan w:val="2"/>
            <w:vAlign w:val="center"/>
          </w:tcPr>
          <w:p w14:paraId="25D2F609" w14:textId="0EA6EE1F" w:rsidR="00232E85" w:rsidRPr="006379A6" w:rsidRDefault="00232E85" w:rsidP="006379A6">
            <w:pPr>
              <w:rPr>
                <w:rFonts w:ascii="Times New Roman" w:hAnsi="Times New Roman" w:cs="Times New Roman"/>
                <w:b/>
                <w:bCs/>
                <w:sz w:val="16"/>
                <w:szCs w:val="16"/>
              </w:rPr>
            </w:pPr>
            <w:r w:rsidRPr="006379A6">
              <w:rPr>
                <w:rFonts w:ascii="Times New Roman" w:hAnsi="Times New Roman" w:cs="Times New Roman"/>
                <w:color w:val="000000"/>
                <w:sz w:val="16"/>
                <w:szCs w:val="16"/>
              </w:rPr>
              <w:t>Property Gate Code</w:t>
            </w:r>
          </w:p>
        </w:tc>
        <w:tc>
          <w:tcPr>
            <w:tcW w:w="8725" w:type="dxa"/>
            <w:gridSpan w:val="5"/>
          </w:tcPr>
          <w:p w14:paraId="29358A71" w14:textId="77777777" w:rsidR="00232E85" w:rsidRPr="006379A6" w:rsidRDefault="00232E85" w:rsidP="006379A6">
            <w:pPr>
              <w:rPr>
                <w:rFonts w:ascii="Times New Roman" w:hAnsi="Times New Roman" w:cs="Times New Roman"/>
                <w:b/>
                <w:bCs/>
                <w:sz w:val="16"/>
                <w:szCs w:val="16"/>
              </w:rPr>
            </w:pPr>
          </w:p>
        </w:tc>
      </w:tr>
      <w:tr w:rsidR="00232E85" w:rsidRPr="006379A6" w14:paraId="0D681829" w14:textId="77777777" w:rsidTr="00232E85">
        <w:tc>
          <w:tcPr>
            <w:tcW w:w="2065" w:type="dxa"/>
            <w:gridSpan w:val="2"/>
            <w:vAlign w:val="center"/>
          </w:tcPr>
          <w:p w14:paraId="34A99A8C" w14:textId="3509E66A" w:rsidR="00232E85" w:rsidRPr="006379A6" w:rsidRDefault="00232E85" w:rsidP="006379A6">
            <w:pPr>
              <w:rPr>
                <w:rFonts w:ascii="Times New Roman" w:hAnsi="Times New Roman" w:cs="Times New Roman"/>
                <w:b/>
                <w:bCs/>
                <w:sz w:val="16"/>
                <w:szCs w:val="16"/>
              </w:rPr>
            </w:pPr>
            <w:r w:rsidRPr="006379A6">
              <w:rPr>
                <w:rFonts w:ascii="Times New Roman" w:hAnsi="Times New Roman" w:cs="Times New Roman"/>
                <w:color w:val="000000"/>
                <w:sz w:val="16"/>
                <w:szCs w:val="16"/>
              </w:rPr>
              <w:t>Storage Locker Location/#’s</w:t>
            </w:r>
          </w:p>
        </w:tc>
        <w:tc>
          <w:tcPr>
            <w:tcW w:w="8725" w:type="dxa"/>
            <w:gridSpan w:val="5"/>
          </w:tcPr>
          <w:p w14:paraId="699AC306" w14:textId="77777777" w:rsidR="00232E85" w:rsidRPr="006379A6" w:rsidRDefault="00232E85" w:rsidP="006379A6">
            <w:pPr>
              <w:rPr>
                <w:rFonts w:ascii="Times New Roman" w:hAnsi="Times New Roman" w:cs="Times New Roman"/>
                <w:b/>
                <w:bCs/>
                <w:sz w:val="16"/>
                <w:szCs w:val="16"/>
              </w:rPr>
            </w:pPr>
          </w:p>
        </w:tc>
      </w:tr>
      <w:tr w:rsidR="00232E85" w:rsidRPr="006379A6" w14:paraId="2B7DEC5C" w14:textId="77777777" w:rsidTr="00232E85">
        <w:tc>
          <w:tcPr>
            <w:tcW w:w="2065" w:type="dxa"/>
            <w:gridSpan w:val="2"/>
            <w:vAlign w:val="center"/>
          </w:tcPr>
          <w:p w14:paraId="6D739DDB" w14:textId="57D95177" w:rsidR="00232E85" w:rsidRPr="006379A6" w:rsidRDefault="00232E85" w:rsidP="006379A6">
            <w:pPr>
              <w:rPr>
                <w:rFonts w:ascii="Times New Roman" w:hAnsi="Times New Roman" w:cs="Times New Roman"/>
                <w:b/>
                <w:bCs/>
                <w:sz w:val="16"/>
                <w:szCs w:val="16"/>
              </w:rPr>
            </w:pPr>
            <w:r w:rsidRPr="006379A6">
              <w:rPr>
                <w:rFonts w:ascii="Times New Roman" w:hAnsi="Times New Roman" w:cs="Times New Roman"/>
                <w:color w:val="000000"/>
                <w:sz w:val="16"/>
                <w:szCs w:val="16"/>
              </w:rPr>
              <w:t>Water Heater Location/Type</w:t>
            </w:r>
          </w:p>
        </w:tc>
        <w:tc>
          <w:tcPr>
            <w:tcW w:w="8725" w:type="dxa"/>
            <w:gridSpan w:val="5"/>
          </w:tcPr>
          <w:p w14:paraId="077BC6E9" w14:textId="77777777" w:rsidR="00232E85" w:rsidRPr="006379A6" w:rsidRDefault="00232E85" w:rsidP="006379A6">
            <w:pPr>
              <w:rPr>
                <w:rFonts w:ascii="Times New Roman" w:hAnsi="Times New Roman" w:cs="Times New Roman"/>
                <w:b/>
                <w:bCs/>
                <w:sz w:val="16"/>
                <w:szCs w:val="16"/>
              </w:rPr>
            </w:pPr>
          </w:p>
        </w:tc>
      </w:tr>
      <w:tr w:rsidR="00232E85" w:rsidRPr="006379A6" w14:paraId="157B778D" w14:textId="77777777" w:rsidTr="00232E85">
        <w:tc>
          <w:tcPr>
            <w:tcW w:w="2065" w:type="dxa"/>
            <w:gridSpan w:val="2"/>
            <w:tcBorders>
              <w:bottom w:val="single" w:sz="4" w:space="0" w:color="auto"/>
            </w:tcBorders>
            <w:vAlign w:val="center"/>
          </w:tcPr>
          <w:p w14:paraId="18E14BC9" w14:textId="47171DB8" w:rsidR="00232E85" w:rsidRPr="006379A6" w:rsidRDefault="00232E85" w:rsidP="006379A6">
            <w:pPr>
              <w:rPr>
                <w:rFonts w:ascii="Times New Roman" w:hAnsi="Times New Roman" w:cs="Times New Roman"/>
                <w:b/>
                <w:bCs/>
                <w:sz w:val="16"/>
                <w:szCs w:val="16"/>
              </w:rPr>
            </w:pPr>
            <w:r w:rsidRPr="006379A6">
              <w:rPr>
                <w:rFonts w:ascii="Times New Roman" w:hAnsi="Times New Roman" w:cs="Times New Roman"/>
                <w:color w:val="000000"/>
                <w:sz w:val="16"/>
                <w:szCs w:val="16"/>
              </w:rPr>
              <w:t>Water Shutoff Location</w:t>
            </w:r>
          </w:p>
        </w:tc>
        <w:tc>
          <w:tcPr>
            <w:tcW w:w="8725" w:type="dxa"/>
            <w:gridSpan w:val="5"/>
            <w:tcBorders>
              <w:bottom w:val="single" w:sz="4" w:space="0" w:color="auto"/>
            </w:tcBorders>
          </w:tcPr>
          <w:p w14:paraId="16250C24" w14:textId="77777777" w:rsidR="00232E85" w:rsidRPr="006379A6" w:rsidRDefault="00232E85" w:rsidP="006379A6">
            <w:pPr>
              <w:rPr>
                <w:rFonts w:ascii="Times New Roman" w:hAnsi="Times New Roman" w:cs="Times New Roman"/>
                <w:b/>
                <w:bCs/>
                <w:sz w:val="16"/>
                <w:szCs w:val="16"/>
              </w:rPr>
            </w:pPr>
          </w:p>
        </w:tc>
      </w:tr>
      <w:tr w:rsidR="00232E85" w:rsidRPr="006379A6" w14:paraId="277A7857" w14:textId="77777777" w:rsidTr="00232E85">
        <w:tc>
          <w:tcPr>
            <w:tcW w:w="2065" w:type="dxa"/>
            <w:gridSpan w:val="2"/>
            <w:tcBorders>
              <w:bottom w:val="single" w:sz="4" w:space="0" w:color="auto"/>
            </w:tcBorders>
            <w:vAlign w:val="center"/>
          </w:tcPr>
          <w:p w14:paraId="3CA629ED" w14:textId="5CDBED5D" w:rsidR="00232E85" w:rsidRPr="006379A6" w:rsidRDefault="00232E85" w:rsidP="006379A6">
            <w:pPr>
              <w:rPr>
                <w:rFonts w:ascii="Times New Roman" w:hAnsi="Times New Roman" w:cs="Times New Roman"/>
                <w:b/>
                <w:bCs/>
                <w:sz w:val="16"/>
                <w:szCs w:val="16"/>
              </w:rPr>
            </w:pPr>
            <w:proofErr w:type="spellStart"/>
            <w:r w:rsidRPr="006379A6">
              <w:rPr>
                <w:rFonts w:ascii="Times New Roman" w:hAnsi="Times New Roman" w:cs="Times New Roman"/>
                <w:color w:val="000000"/>
                <w:sz w:val="16"/>
                <w:szCs w:val="16"/>
              </w:rPr>
              <w:t>Wifi</w:t>
            </w:r>
            <w:proofErr w:type="spellEnd"/>
            <w:r w:rsidRPr="006379A6">
              <w:rPr>
                <w:rFonts w:ascii="Times New Roman" w:hAnsi="Times New Roman" w:cs="Times New Roman"/>
                <w:color w:val="000000"/>
                <w:sz w:val="16"/>
                <w:szCs w:val="16"/>
              </w:rPr>
              <w:t>/Login Information</w:t>
            </w:r>
          </w:p>
        </w:tc>
        <w:tc>
          <w:tcPr>
            <w:tcW w:w="8725" w:type="dxa"/>
            <w:gridSpan w:val="5"/>
            <w:tcBorders>
              <w:bottom w:val="single" w:sz="4" w:space="0" w:color="auto"/>
            </w:tcBorders>
          </w:tcPr>
          <w:p w14:paraId="4DA335F0" w14:textId="77777777" w:rsidR="00232E85" w:rsidRPr="006379A6" w:rsidRDefault="00232E85" w:rsidP="006379A6">
            <w:pPr>
              <w:rPr>
                <w:rFonts w:ascii="Times New Roman" w:hAnsi="Times New Roman" w:cs="Times New Roman"/>
                <w:b/>
                <w:bCs/>
                <w:sz w:val="16"/>
                <w:szCs w:val="16"/>
              </w:rPr>
            </w:pPr>
          </w:p>
        </w:tc>
      </w:tr>
      <w:tr w:rsidR="00232E85" w:rsidRPr="006379A6" w14:paraId="739EACA7" w14:textId="77777777" w:rsidTr="00232E85">
        <w:tc>
          <w:tcPr>
            <w:tcW w:w="2065" w:type="dxa"/>
            <w:gridSpan w:val="2"/>
            <w:tcBorders>
              <w:top w:val="single" w:sz="4" w:space="0" w:color="auto"/>
              <w:left w:val="nil"/>
              <w:bottom w:val="single" w:sz="4" w:space="0" w:color="auto"/>
              <w:right w:val="nil"/>
            </w:tcBorders>
            <w:vAlign w:val="center"/>
          </w:tcPr>
          <w:p w14:paraId="5D33B563" w14:textId="77777777" w:rsidR="00232E85" w:rsidRPr="006379A6" w:rsidRDefault="00232E85" w:rsidP="006379A6">
            <w:pPr>
              <w:rPr>
                <w:rFonts w:ascii="Times New Roman" w:hAnsi="Times New Roman" w:cs="Times New Roman"/>
                <w:color w:val="000000"/>
                <w:sz w:val="16"/>
                <w:szCs w:val="16"/>
              </w:rPr>
            </w:pPr>
          </w:p>
        </w:tc>
        <w:tc>
          <w:tcPr>
            <w:tcW w:w="8725" w:type="dxa"/>
            <w:gridSpan w:val="5"/>
            <w:tcBorders>
              <w:top w:val="single" w:sz="4" w:space="0" w:color="auto"/>
              <w:left w:val="nil"/>
              <w:bottom w:val="single" w:sz="4" w:space="0" w:color="auto"/>
              <w:right w:val="nil"/>
            </w:tcBorders>
          </w:tcPr>
          <w:p w14:paraId="23C2875C" w14:textId="77777777" w:rsidR="00232E85" w:rsidRPr="006379A6" w:rsidRDefault="00232E85" w:rsidP="006379A6">
            <w:pPr>
              <w:rPr>
                <w:rFonts w:ascii="Times New Roman" w:hAnsi="Times New Roman" w:cs="Times New Roman"/>
                <w:b/>
                <w:bCs/>
                <w:sz w:val="16"/>
                <w:szCs w:val="16"/>
              </w:rPr>
            </w:pPr>
          </w:p>
        </w:tc>
      </w:tr>
      <w:tr w:rsidR="00232E85" w:rsidRPr="006379A6" w14:paraId="223F208C" w14:textId="77777777" w:rsidTr="00232E85">
        <w:tc>
          <w:tcPr>
            <w:tcW w:w="10790" w:type="dxa"/>
            <w:gridSpan w:val="7"/>
            <w:tcBorders>
              <w:top w:val="single" w:sz="4" w:space="0" w:color="auto"/>
            </w:tcBorders>
          </w:tcPr>
          <w:p w14:paraId="25A767A0" w14:textId="213025A3" w:rsidR="00232E85" w:rsidRPr="006379A6" w:rsidRDefault="00232E85" w:rsidP="00232E85">
            <w:pPr>
              <w:jc w:val="center"/>
              <w:rPr>
                <w:rFonts w:ascii="Times New Roman" w:hAnsi="Times New Roman" w:cs="Times New Roman"/>
                <w:b/>
                <w:bCs/>
                <w:sz w:val="16"/>
                <w:szCs w:val="16"/>
              </w:rPr>
            </w:pPr>
            <w:r>
              <w:rPr>
                <w:rFonts w:ascii="Times New Roman" w:hAnsi="Times New Roman" w:cs="Times New Roman"/>
                <w:b/>
                <w:bCs/>
                <w:sz w:val="16"/>
                <w:szCs w:val="16"/>
              </w:rPr>
              <w:t xml:space="preserve">SUMMARY OF UTILITY PAYMENT &amp; RULES, </w:t>
            </w:r>
            <w:r>
              <w:rPr>
                <w:rFonts w:ascii="Times New Roman" w:hAnsi="Times New Roman" w:cs="Times New Roman"/>
                <w:b/>
                <w:bCs/>
                <w:sz w:val="16"/>
                <w:szCs w:val="16"/>
              </w:rPr>
              <w:t>“</w:t>
            </w:r>
            <w:r w:rsidR="00B802CC">
              <w:rPr>
                <w:rFonts w:ascii="Times New Roman" w:hAnsi="Times New Roman" w:cs="Times New Roman"/>
                <w:b/>
                <w:bCs/>
                <w:sz w:val="16"/>
                <w:szCs w:val="16"/>
              </w:rPr>
              <w:t>Tenant</w:t>
            </w:r>
            <w:r>
              <w:rPr>
                <w:rFonts w:ascii="Times New Roman" w:hAnsi="Times New Roman" w:cs="Times New Roman"/>
                <w:b/>
                <w:bCs/>
                <w:sz w:val="16"/>
                <w:szCs w:val="16"/>
              </w:rPr>
              <w:t xml:space="preserve">” </w:t>
            </w:r>
            <w:r w:rsidR="00B802CC">
              <w:rPr>
                <w:rFonts w:ascii="Times New Roman" w:hAnsi="Times New Roman" w:cs="Times New Roman"/>
                <w:b/>
                <w:bCs/>
                <w:sz w:val="16"/>
                <w:szCs w:val="16"/>
              </w:rPr>
              <w:t xml:space="preserve">for Tenant </w:t>
            </w:r>
            <w:r>
              <w:rPr>
                <w:rFonts w:ascii="Times New Roman" w:hAnsi="Times New Roman" w:cs="Times New Roman"/>
                <w:b/>
                <w:bCs/>
                <w:sz w:val="16"/>
                <w:szCs w:val="16"/>
              </w:rPr>
              <w:t>or “</w:t>
            </w:r>
            <w:r>
              <w:rPr>
                <w:rFonts w:ascii="Times New Roman" w:hAnsi="Times New Roman" w:cs="Times New Roman"/>
                <w:b/>
                <w:bCs/>
                <w:sz w:val="16"/>
                <w:szCs w:val="16"/>
              </w:rPr>
              <w:t>Owner</w:t>
            </w:r>
            <w:r>
              <w:rPr>
                <w:rFonts w:ascii="Times New Roman" w:hAnsi="Times New Roman" w:cs="Times New Roman"/>
                <w:b/>
                <w:bCs/>
                <w:sz w:val="16"/>
                <w:szCs w:val="16"/>
              </w:rPr>
              <w:t>”</w:t>
            </w:r>
            <w:r w:rsidR="00B802CC">
              <w:rPr>
                <w:rFonts w:ascii="Times New Roman" w:hAnsi="Times New Roman" w:cs="Times New Roman"/>
                <w:b/>
                <w:bCs/>
                <w:sz w:val="16"/>
                <w:szCs w:val="16"/>
              </w:rPr>
              <w:t xml:space="preserve"> for Landlord</w:t>
            </w:r>
          </w:p>
        </w:tc>
      </w:tr>
      <w:tr w:rsidR="00232E85" w:rsidRPr="006379A6" w14:paraId="2320F18D" w14:textId="77777777" w:rsidTr="00232E85">
        <w:tc>
          <w:tcPr>
            <w:tcW w:w="1525" w:type="dxa"/>
            <w:vAlign w:val="center"/>
          </w:tcPr>
          <w:p w14:paraId="6AD04FE8" w14:textId="563501F6" w:rsidR="00232E85" w:rsidRPr="006379A6" w:rsidRDefault="00232E85" w:rsidP="00232E85">
            <w:pPr>
              <w:jc w:val="center"/>
              <w:rPr>
                <w:rFonts w:ascii="Times New Roman" w:hAnsi="Times New Roman" w:cs="Times New Roman"/>
                <w:color w:val="000000"/>
                <w:sz w:val="16"/>
                <w:szCs w:val="16"/>
              </w:rPr>
            </w:pPr>
            <w:r w:rsidRPr="00E263B9">
              <w:rPr>
                <w:rFonts w:ascii="Times New Roman" w:eastAsia="Times New Roman" w:hAnsi="Times New Roman" w:cs="Times New Roman"/>
                <w:position w:val="-1"/>
                <w:sz w:val="16"/>
                <w:szCs w:val="16"/>
                <w:u w:val="single"/>
              </w:rPr>
              <w:t>Utility</w:t>
            </w:r>
          </w:p>
        </w:tc>
        <w:tc>
          <w:tcPr>
            <w:tcW w:w="990" w:type="dxa"/>
            <w:gridSpan w:val="2"/>
          </w:tcPr>
          <w:p w14:paraId="54966832" w14:textId="3D6B5A4F" w:rsidR="00232E85" w:rsidRPr="006379A6" w:rsidRDefault="00232E85" w:rsidP="00232E85">
            <w:pPr>
              <w:jc w:val="center"/>
              <w:rPr>
                <w:rFonts w:ascii="Times New Roman" w:hAnsi="Times New Roman" w:cs="Times New Roman"/>
                <w:b/>
                <w:bCs/>
                <w:sz w:val="16"/>
                <w:szCs w:val="16"/>
              </w:rPr>
            </w:pPr>
            <w:r w:rsidRPr="00E263B9">
              <w:rPr>
                <w:rFonts w:ascii="Times New Roman" w:eastAsia="Times New Roman" w:hAnsi="Times New Roman" w:cs="Times New Roman"/>
                <w:position w:val="-1"/>
                <w:sz w:val="16"/>
                <w:szCs w:val="16"/>
                <w:u w:val="single"/>
              </w:rPr>
              <w:t>Who Pays for Service</w:t>
            </w:r>
          </w:p>
        </w:tc>
        <w:tc>
          <w:tcPr>
            <w:tcW w:w="1170" w:type="dxa"/>
            <w:gridSpan w:val="2"/>
          </w:tcPr>
          <w:p w14:paraId="29283C2E" w14:textId="7EFFD820" w:rsidR="00232E85" w:rsidRPr="00232E85" w:rsidRDefault="00232E85" w:rsidP="00232E85">
            <w:pPr>
              <w:jc w:val="center"/>
              <w:rPr>
                <w:rFonts w:ascii="Times New Roman" w:hAnsi="Times New Roman" w:cs="Times New Roman"/>
                <w:b/>
                <w:bCs/>
                <w:sz w:val="16"/>
                <w:szCs w:val="16"/>
                <w:u w:val="single"/>
              </w:rPr>
            </w:pPr>
            <w:r w:rsidRPr="00232E85">
              <w:rPr>
                <w:rFonts w:ascii="Times New Roman" w:eastAsia="Times New Roman" w:hAnsi="Times New Roman" w:cs="Times New Roman"/>
                <w:position w:val="-1"/>
                <w:sz w:val="16"/>
                <w:szCs w:val="16"/>
                <w:u w:val="single"/>
              </w:rPr>
              <w:t>Service Under Who’s Name</w:t>
            </w:r>
          </w:p>
        </w:tc>
        <w:tc>
          <w:tcPr>
            <w:tcW w:w="7105" w:type="dxa"/>
            <w:gridSpan w:val="2"/>
          </w:tcPr>
          <w:p w14:paraId="0799676A" w14:textId="44F8D874" w:rsidR="00232E85" w:rsidRPr="006379A6" w:rsidRDefault="00232E85" w:rsidP="00232E85">
            <w:pPr>
              <w:jc w:val="center"/>
              <w:rPr>
                <w:rFonts w:ascii="Times New Roman" w:hAnsi="Times New Roman" w:cs="Times New Roman"/>
                <w:b/>
                <w:bCs/>
                <w:sz w:val="16"/>
                <w:szCs w:val="16"/>
              </w:rPr>
            </w:pPr>
            <w:r w:rsidRPr="00E263B9">
              <w:rPr>
                <w:rFonts w:ascii="Times New Roman" w:eastAsia="Times New Roman" w:hAnsi="Times New Roman" w:cs="Times New Roman"/>
                <w:position w:val="-1"/>
                <w:sz w:val="16"/>
                <w:szCs w:val="16"/>
                <w:u w:val="single"/>
              </w:rPr>
              <w:t>Rules for Service</w:t>
            </w:r>
          </w:p>
        </w:tc>
      </w:tr>
      <w:tr w:rsidR="00232E85" w:rsidRPr="006379A6" w14:paraId="04A11794" w14:textId="77777777" w:rsidTr="00232E85">
        <w:tc>
          <w:tcPr>
            <w:tcW w:w="1525" w:type="dxa"/>
            <w:vAlign w:val="center"/>
          </w:tcPr>
          <w:p w14:paraId="41DF6FDC" w14:textId="04704A4E" w:rsidR="00232E85" w:rsidRPr="006379A6" w:rsidRDefault="00232E85" w:rsidP="00232E85">
            <w:pPr>
              <w:rPr>
                <w:rFonts w:ascii="Times New Roman" w:hAnsi="Times New Roman" w:cs="Times New Roman"/>
                <w:color w:val="000000"/>
                <w:sz w:val="16"/>
                <w:szCs w:val="16"/>
              </w:rPr>
            </w:pPr>
            <w:r w:rsidRPr="00E263B9">
              <w:rPr>
                <w:rFonts w:ascii="Times New Roman" w:hAnsi="Times New Roman" w:cs="Times New Roman"/>
                <w:color w:val="000000"/>
                <w:sz w:val="16"/>
                <w:szCs w:val="16"/>
              </w:rPr>
              <w:t>Electric</w:t>
            </w:r>
          </w:p>
        </w:tc>
        <w:tc>
          <w:tcPr>
            <w:tcW w:w="990" w:type="dxa"/>
            <w:gridSpan w:val="2"/>
          </w:tcPr>
          <w:p w14:paraId="33D32942" w14:textId="77777777" w:rsidR="00232E85" w:rsidRPr="006379A6" w:rsidRDefault="00232E85" w:rsidP="00232E85">
            <w:pPr>
              <w:rPr>
                <w:rFonts w:ascii="Times New Roman" w:hAnsi="Times New Roman" w:cs="Times New Roman"/>
                <w:b/>
                <w:bCs/>
                <w:sz w:val="16"/>
                <w:szCs w:val="16"/>
              </w:rPr>
            </w:pPr>
          </w:p>
        </w:tc>
        <w:tc>
          <w:tcPr>
            <w:tcW w:w="1170" w:type="dxa"/>
            <w:gridSpan w:val="2"/>
          </w:tcPr>
          <w:p w14:paraId="46E296C1" w14:textId="77777777" w:rsidR="00232E85" w:rsidRPr="006379A6" w:rsidRDefault="00232E85" w:rsidP="00232E85">
            <w:pPr>
              <w:rPr>
                <w:rFonts w:ascii="Times New Roman" w:hAnsi="Times New Roman" w:cs="Times New Roman"/>
                <w:b/>
                <w:bCs/>
                <w:sz w:val="16"/>
                <w:szCs w:val="16"/>
              </w:rPr>
            </w:pPr>
          </w:p>
        </w:tc>
        <w:tc>
          <w:tcPr>
            <w:tcW w:w="7105" w:type="dxa"/>
            <w:gridSpan w:val="2"/>
          </w:tcPr>
          <w:p w14:paraId="7DBE326A" w14:textId="77777777" w:rsidR="00232E85" w:rsidRPr="006379A6" w:rsidRDefault="00232E85" w:rsidP="00232E85">
            <w:pPr>
              <w:rPr>
                <w:rFonts w:ascii="Times New Roman" w:hAnsi="Times New Roman" w:cs="Times New Roman"/>
                <w:b/>
                <w:bCs/>
                <w:sz w:val="16"/>
                <w:szCs w:val="16"/>
              </w:rPr>
            </w:pPr>
          </w:p>
        </w:tc>
      </w:tr>
      <w:tr w:rsidR="00232E85" w:rsidRPr="006379A6" w14:paraId="09BDA104" w14:textId="77777777" w:rsidTr="00232E85">
        <w:tc>
          <w:tcPr>
            <w:tcW w:w="1525" w:type="dxa"/>
            <w:vAlign w:val="center"/>
          </w:tcPr>
          <w:p w14:paraId="5774BE17" w14:textId="62DF3626" w:rsidR="00232E85" w:rsidRPr="006379A6" w:rsidRDefault="00232E85" w:rsidP="00232E85">
            <w:pPr>
              <w:rPr>
                <w:rFonts w:ascii="Times New Roman" w:hAnsi="Times New Roman" w:cs="Times New Roman"/>
                <w:color w:val="000000"/>
                <w:sz w:val="16"/>
                <w:szCs w:val="16"/>
              </w:rPr>
            </w:pPr>
            <w:r w:rsidRPr="00E263B9">
              <w:rPr>
                <w:rFonts w:ascii="Times New Roman" w:hAnsi="Times New Roman" w:cs="Times New Roman"/>
                <w:color w:val="000000"/>
                <w:sz w:val="16"/>
                <w:szCs w:val="16"/>
              </w:rPr>
              <w:t>Cable</w:t>
            </w:r>
          </w:p>
        </w:tc>
        <w:tc>
          <w:tcPr>
            <w:tcW w:w="990" w:type="dxa"/>
            <w:gridSpan w:val="2"/>
          </w:tcPr>
          <w:p w14:paraId="34AD5BF0" w14:textId="77777777" w:rsidR="00232E85" w:rsidRPr="006379A6" w:rsidRDefault="00232E85" w:rsidP="00232E85">
            <w:pPr>
              <w:rPr>
                <w:rFonts w:ascii="Times New Roman" w:hAnsi="Times New Roman" w:cs="Times New Roman"/>
                <w:b/>
                <w:bCs/>
                <w:sz w:val="16"/>
                <w:szCs w:val="16"/>
              </w:rPr>
            </w:pPr>
          </w:p>
        </w:tc>
        <w:tc>
          <w:tcPr>
            <w:tcW w:w="1170" w:type="dxa"/>
            <w:gridSpan w:val="2"/>
          </w:tcPr>
          <w:p w14:paraId="79ACC905" w14:textId="77777777" w:rsidR="00232E85" w:rsidRPr="006379A6" w:rsidRDefault="00232E85" w:rsidP="00232E85">
            <w:pPr>
              <w:rPr>
                <w:rFonts w:ascii="Times New Roman" w:hAnsi="Times New Roman" w:cs="Times New Roman"/>
                <w:b/>
                <w:bCs/>
                <w:sz w:val="16"/>
                <w:szCs w:val="16"/>
              </w:rPr>
            </w:pPr>
          </w:p>
        </w:tc>
        <w:tc>
          <w:tcPr>
            <w:tcW w:w="7105" w:type="dxa"/>
            <w:gridSpan w:val="2"/>
          </w:tcPr>
          <w:p w14:paraId="74A8C5EA" w14:textId="77777777" w:rsidR="00232E85" w:rsidRPr="006379A6" w:rsidRDefault="00232E85" w:rsidP="00232E85">
            <w:pPr>
              <w:rPr>
                <w:rFonts w:ascii="Times New Roman" w:hAnsi="Times New Roman" w:cs="Times New Roman"/>
                <w:b/>
                <w:bCs/>
                <w:sz w:val="16"/>
                <w:szCs w:val="16"/>
              </w:rPr>
            </w:pPr>
          </w:p>
        </w:tc>
      </w:tr>
      <w:tr w:rsidR="00232E85" w:rsidRPr="006379A6" w14:paraId="0CC50771" w14:textId="77777777" w:rsidTr="00232E85">
        <w:tc>
          <w:tcPr>
            <w:tcW w:w="1525" w:type="dxa"/>
            <w:vAlign w:val="center"/>
          </w:tcPr>
          <w:p w14:paraId="1BFB71DE" w14:textId="282D4944" w:rsidR="00232E85" w:rsidRPr="006379A6" w:rsidRDefault="00232E85" w:rsidP="00232E85">
            <w:pPr>
              <w:rPr>
                <w:rFonts w:ascii="Times New Roman" w:hAnsi="Times New Roman" w:cs="Times New Roman"/>
                <w:color w:val="000000"/>
                <w:sz w:val="16"/>
                <w:szCs w:val="16"/>
              </w:rPr>
            </w:pPr>
            <w:r w:rsidRPr="00E263B9">
              <w:rPr>
                <w:rFonts w:ascii="Times New Roman" w:hAnsi="Times New Roman" w:cs="Times New Roman"/>
                <w:color w:val="000000"/>
                <w:sz w:val="16"/>
                <w:szCs w:val="16"/>
              </w:rPr>
              <w:t>Gas</w:t>
            </w:r>
          </w:p>
        </w:tc>
        <w:tc>
          <w:tcPr>
            <w:tcW w:w="990" w:type="dxa"/>
            <w:gridSpan w:val="2"/>
          </w:tcPr>
          <w:p w14:paraId="184C0008" w14:textId="77777777" w:rsidR="00232E85" w:rsidRPr="006379A6" w:rsidRDefault="00232E85" w:rsidP="00232E85">
            <w:pPr>
              <w:rPr>
                <w:rFonts w:ascii="Times New Roman" w:hAnsi="Times New Roman" w:cs="Times New Roman"/>
                <w:b/>
                <w:bCs/>
                <w:sz w:val="16"/>
                <w:szCs w:val="16"/>
              </w:rPr>
            </w:pPr>
          </w:p>
        </w:tc>
        <w:tc>
          <w:tcPr>
            <w:tcW w:w="1170" w:type="dxa"/>
            <w:gridSpan w:val="2"/>
          </w:tcPr>
          <w:p w14:paraId="36A9F718" w14:textId="77777777" w:rsidR="00232E85" w:rsidRPr="006379A6" w:rsidRDefault="00232E85" w:rsidP="00232E85">
            <w:pPr>
              <w:rPr>
                <w:rFonts w:ascii="Times New Roman" w:hAnsi="Times New Roman" w:cs="Times New Roman"/>
                <w:b/>
                <w:bCs/>
                <w:sz w:val="16"/>
                <w:szCs w:val="16"/>
              </w:rPr>
            </w:pPr>
          </w:p>
        </w:tc>
        <w:tc>
          <w:tcPr>
            <w:tcW w:w="7105" w:type="dxa"/>
            <w:gridSpan w:val="2"/>
          </w:tcPr>
          <w:p w14:paraId="3179126F" w14:textId="77777777" w:rsidR="00232E85" w:rsidRPr="006379A6" w:rsidRDefault="00232E85" w:rsidP="00232E85">
            <w:pPr>
              <w:rPr>
                <w:rFonts w:ascii="Times New Roman" w:hAnsi="Times New Roman" w:cs="Times New Roman"/>
                <w:b/>
                <w:bCs/>
                <w:sz w:val="16"/>
                <w:szCs w:val="16"/>
              </w:rPr>
            </w:pPr>
          </w:p>
        </w:tc>
      </w:tr>
      <w:tr w:rsidR="00232E85" w:rsidRPr="006379A6" w14:paraId="099FF34D" w14:textId="77777777" w:rsidTr="00232E85">
        <w:tc>
          <w:tcPr>
            <w:tcW w:w="1525" w:type="dxa"/>
            <w:vAlign w:val="center"/>
          </w:tcPr>
          <w:p w14:paraId="7DBB28BA" w14:textId="6C607A09" w:rsidR="00232E85" w:rsidRPr="006379A6" w:rsidRDefault="00232E85" w:rsidP="00232E85">
            <w:pPr>
              <w:rPr>
                <w:rFonts w:ascii="Times New Roman" w:hAnsi="Times New Roman" w:cs="Times New Roman"/>
                <w:color w:val="000000"/>
                <w:sz w:val="16"/>
                <w:szCs w:val="16"/>
              </w:rPr>
            </w:pPr>
            <w:r w:rsidRPr="00E263B9">
              <w:rPr>
                <w:rFonts w:ascii="Times New Roman" w:hAnsi="Times New Roman" w:cs="Times New Roman"/>
                <w:color w:val="000000"/>
                <w:sz w:val="16"/>
                <w:szCs w:val="16"/>
              </w:rPr>
              <w:t>General Excise Tax</w:t>
            </w:r>
          </w:p>
        </w:tc>
        <w:tc>
          <w:tcPr>
            <w:tcW w:w="990" w:type="dxa"/>
            <w:gridSpan w:val="2"/>
          </w:tcPr>
          <w:p w14:paraId="10166DFF" w14:textId="77777777" w:rsidR="00232E85" w:rsidRPr="006379A6" w:rsidRDefault="00232E85" w:rsidP="00232E85">
            <w:pPr>
              <w:rPr>
                <w:rFonts w:ascii="Times New Roman" w:hAnsi="Times New Roman" w:cs="Times New Roman"/>
                <w:b/>
                <w:bCs/>
                <w:sz w:val="16"/>
                <w:szCs w:val="16"/>
              </w:rPr>
            </w:pPr>
          </w:p>
        </w:tc>
        <w:tc>
          <w:tcPr>
            <w:tcW w:w="1170" w:type="dxa"/>
            <w:gridSpan w:val="2"/>
          </w:tcPr>
          <w:p w14:paraId="47867DDE" w14:textId="77777777" w:rsidR="00232E85" w:rsidRPr="006379A6" w:rsidRDefault="00232E85" w:rsidP="00232E85">
            <w:pPr>
              <w:rPr>
                <w:rFonts w:ascii="Times New Roman" w:hAnsi="Times New Roman" w:cs="Times New Roman"/>
                <w:b/>
                <w:bCs/>
                <w:sz w:val="16"/>
                <w:szCs w:val="16"/>
              </w:rPr>
            </w:pPr>
          </w:p>
        </w:tc>
        <w:tc>
          <w:tcPr>
            <w:tcW w:w="7105" w:type="dxa"/>
            <w:gridSpan w:val="2"/>
          </w:tcPr>
          <w:p w14:paraId="0D978A43" w14:textId="77777777" w:rsidR="00232E85" w:rsidRPr="006379A6" w:rsidRDefault="00232E85" w:rsidP="00232E85">
            <w:pPr>
              <w:rPr>
                <w:rFonts w:ascii="Times New Roman" w:hAnsi="Times New Roman" w:cs="Times New Roman"/>
                <w:b/>
                <w:bCs/>
                <w:sz w:val="16"/>
                <w:szCs w:val="16"/>
              </w:rPr>
            </w:pPr>
          </w:p>
        </w:tc>
      </w:tr>
      <w:tr w:rsidR="00232E85" w:rsidRPr="006379A6" w14:paraId="3D096155" w14:textId="77777777" w:rsidTr="00232E85">
        <w:tc>
          <w:tcPr>
            <w:tcW w:w="1525" w:type="dxa"/>
            <w:vAlign w:val="center"/>
          </w:tcPr>
          <w:p w14:paraId="67A5992A" w14:textId="4C369E49" w:rsidR="00232E85" w:rsidRPr="006379A6" w:rsidRDefault="00232E85" w:rsidP="00232E85">
            <w:pPr>
              <w:rPr>
                <w:rFonts w:ascii="Times New Roman" w:hAnsi="Times New Roman" w:cs="Times New Roman"/>
                <w:color w:val="000000"/>
                <w:sz w:val="16"/>
                <w:szCs w:val="16"/>
              </w:rPr>
            </w:pPr>
            <w:r w:rsidRPr="00E263B9">
              <w:rPr>
                <w:rFonts w:ascii="Times New Roman" w:hAnsi="Times New Roman" w:cs="Times New Roman"/>
                <w:color w:val="000000"/>
                <w:sz w:val="16"/>
                <w:szCs w:val="16"/>
              </w:rPr>
              <w:t>Internet</w:t>
            </w:r>
          </w:p>
        </w:tc>
        <w:tc>
          <w:tcPr>
            <w:tcW w:w="990" w:type="dxa"/>
            <w:gridSpan w:val="2"/>
          </w:tcPr>
          <w:p w14:paraId="56F1DBD0" w14:textId="77777777" w:rsidR="00232E85" w:rsidRPr="006379A6" w:rsidRDefault="00232E85" w:rsidP="00232E85">
            <w:pPr>
              <w:rPr>
                <w:rFonts w:ascii="Times New Roman" w:hAnsi="Times New Roman" w:cs="Times New Roman"/>
                <w:b/>
                <w:bCs/>
                <w:sz w:val="16"/>
                <w:szCs w:val="16"/>
              </w:rPr>
            </w:pPr>
          </w:p>
        </w:tc>
        <w:tc>
          <w:tcPr>
            <w:tcW w:w="1170" w:type="dxa"/>
            <w:gridSpan w:val="2"/>
          </w:tcPr>
          <w:p w14:paraId="178AA88F" w14:textId="77777777" w:rsidR="00232E85" w:rsidRPr="006379A6" w:rsidRDefault="00232E85" w:rsidP="00232E85">
            <w:pPr>
              <w:rPr>
                <w:rFonts w:ascii="Times New Roman" w:hAnsi="Times New Roman" w:cs="Times New Roman"/>
                <w:b/>
                <w:bCs/>
                <w:sz w:val="16"/>
                <w:szCs w:val="16"/>
              </w:rPr>
            </w:pPr>
          </w:p>
        </w:tc>
        <w:tc>
          <w:tcPr>
            <w:tcW w:w="7105" w:type="dxa"/>
            <w:gridSpan w:val="2"/>
          </w:tcPr>
          <w:p w14:paraId="3D71424D" w14:textId="77777777" w:rsidR="00232E85" w:rsidRPr="006379A6" w:rsidRDefault="00232E85" w:rsidP="00232E85">
            <w:pPr>
              <w:rPr>
                <w:rFonts w:ascii="Times New Roman" w:hAnsi="Times New Roman" w:cs="Times New Roman"/>
                <w:b/>
                <w:bCs/>
                <w:sz w:val="16"/>
                <w:szCs w:val="16"/>
              </w:rPr>
            </w:pPr>
          </w:p>
        </w:tc>
      </w:tr>
      <w:tr w:rsidR="00232E85" w:rsidRPr="006379A6" w14:paraId="1E15B70B" w14:textId="77777777" w:rsidTr="00232E85">
        <w:tc>
          <w:tcPr>
            <w:tcW w:w="1525" w:type="dxa"/>
            <w:vAlign w:val="center"/>
          </w:tcPr>
          <w:p w14:paraId="2BE7E028" w14:textId="66632977" w:rsidR="00232E85" w:rsidRPr="006379A6" w:rsidRDefault="00232E85" w:rsidP="00232E85">
            <w:pPr>
              <w:rPr>
                <w:rFonts w:ascii="Times New Roman" w:hAnsi="Times New Roman" w:cs="Times New Roman"/>
                <w:color w:val="000000"/>
                <w:sz w:val="16"/>
                <w:szCs w:val="16"/>
              </w:rPr>
            </w:pPr>
            <w:r w:rsidRPr="00E263B9">
              <w:rPr>
                <w:rFonts w:ascii="Times New Roman" w:hAnsi="Times New Roman" w:cs="Times New Roman"/>
                <w:color w:val="000000"/>
                <w:sz w:val="16"/>
                <w:szCs w:val="16"/>
              </w:rPr>
              <w:t>On-going Cleaning</w:t>
            </w:r>
          </w:p>
        </w:tc>
        <w:tc>
          <w:tcPr>
            <w:tcW w:w="990" w:type="dxa"/>
            <w:gridSpan w:val="2"/>
          </w:tcPr>
          <w:p w14:paraId="798F360B" w14:textId="77777777" w:rsidR="00232E85" w:rsidRPr="006379A6" w:rsidRDefault="00232E85" w:rsidP="00232E85">
            <w:pPr>
              <w:rPr>
                <w:rFonts w:ascii="Times New Roman" w:hAnsi="Times New Roman" w:cs="Times New Roman"/>
                <w:b/>
                <w:bCs/>
                <w:sz w:val="16"/>
                <w:szCs w:val="16"/>
              </w:rPr>
            </w:pPr>
          </w:p>
        </w:tc>
        <w:tc>
          <w:tcPr>
            <w:tcW w:w="1170" w:type="dxa"/>
            <w:gridSpan w:val="2"/>
          </w:tcPr>
          <w:p w14:paraId="06194A32" w14:textId="77777777" w:rsidR="00232E85" w:rsidRPr="006379A6" w:rsidRDefault="00232E85" w:rsidP="00232E85">
            <w:pPr>
              <w:rPr>
                <w:rFonts w:ascii="Times New Roman" w:hAnsi="Times New Roman" w:cs="Times New Roman"/>
                <w:b/>
                <w:bCs/>
                <w:sz w:val="16"/>
                <w:szCs w:val="16"/>
              </w:rPr>
            </w:pPr>
          </w:p>
        </w:tc>
        <w:tc>
          <w:tcPr>
            <w:tcW w:w="7105" w:type="dxa"/>
            <w:gridSpan w:val="2"/>
          </w:tcPr>
          <w:p w14:paraId="13401FEE" w14:textId="77777777" w:rsidR="00232E85" w:rsidRPr="006379A6" w:rsidRDefault="00232E85" w:rsidP="00232E85">
            <w:pPr>
              <w:rPr>
                <w:rFonts w:ascii="Times New Roman" w:hAnsi="Times New Roman" w:cs="Times New Roman"/>
                <w:b/>
                <w:bCs/>
                <w:sz w:val="16"/>
                <w:szCs w:val="16"/>
              </w:rPr>
            </w:pPr>
          </w:p>
        </w:tc>
      </w:tr>
      <w:tr w:rsidR="00232E85" w:rsidRPr="006379A6" w14:paraId="5A894C97" w14:textId="77777777" w:rsidTr="00232E85">
        <w:tc>
          <w:tcPr>
            <w:tcW w:w="1525" w:type="dxa"/>
            <w:vAlign w:val="center"/>
          </w:tcPr>
          <w:p w14:paraId="421BE2B5" w14:textId="053A96FF" w:rsidR="00232E85" w:rsidRPr="006379A6" w:rsidRDefault="00232E85" w:rsidP="00232E85">
            <w:pPr>
              <w:rPr>
                <w:rFonts w:ascii="Times New Roman" w:hAnsi="Times New Roman" w:cs="Times New Roman"/>
                <w:color w:val="000000"/>
                <w:sz w:val="16"/>
                <w:szCs w:val="16"/>
              </w:rPr>
            </w:pPr>
            <w:r w:rsidRPr="00E263B9">
              <w:rPr>
                <w:rFonts w:ascii="Times New Roman" w:hAnsi="Times New Roman" w:cs="Times New Roman"/>
                <w:color w:val="000000"/>
                <w:sz w:val="16"/>
                <w:szCs w:val="16"/>
              </w:rPr>
              <w:t>Pest</w:t>
            </w:r>
          </w:p>
        </w:tc>
        <w:tc>
          <w:tcPr>
            <w:tcW w:w="990" w:type="dxa"/>
            <w:gridSpan w:val="2"/>
          </w:tcPr>
          <w:p w14:paraId="42D51F0F" w14:textId="77777777" w:rsidR="00232E85" w:rsidRPr="006379A6" w:rsidRDefault="00232E85" w:rsidP="00232E85">
            <w:pPr>
              <w:rPr>
                <w:rFonts w:ascii="Times New Roman" w:hAnsi="Times New Roman" w:cs="Times New Roman"/>
                <w:b/>
                <w:bCs/>
                <w:sz w:val="16"/>
                <w:szCs w:val="16"/>
              </w:rPr>
            </w:pPr>
          </w:p>
        </w:tc>
        <w:tc>
          <w:tcPr>
            <w:tcW w:w="1170" w:type="dxa"/>
            <w:gridSpan w:val="2"/>
          </w:tcPr>
          <w:p w14:paraId="05154C1C" w14:textId="77777777" w:rsidR="00232E85" w:rsidRPr="006379A6" w:rsidRDefault="00232E85" w:rsidP="00232E85">
            <w:pPr>
              <w:rPr>
                <w:rFonts w:ascii="Times New Roman" w:hAnsi="Times New Roman" w:cs="Times New Roman"/>
                <w:b/>
                <w:bCs/>
                <w:sz w:val="16"/>
                <w:szCs w:val="16"/>
              </w:rPr>
            </w:pPr>
          </w:p>
        </w:tc>
        <w:tc>
          <w:tcPr>
            <w:tcW w:w="7105" w:type="dxa"/>
            <w:gridSpan w:val="2"/>
          </w:tcPr>
          <w:p w14:paraId="1D15707E" w14:textId="77777777" w:rsidR="00232E85" w:rsidRPr="006379A6" w:rsidRDefault="00232E85" w:rsidP="00232E85">
            <w:pPr>
              <w:rPr>
                <w:rFonts w:ascii="Times New Roman" w:hAnsi="Times New Roman" w:cs="Times New Roman"/>
                <w:b/>
                <w:bCs/>
                <w:sz w:val="16"/>
                <w:szCs w:val="16"/>
              </w:rPr>
            </w:pPr>
          </w:p>
        </w:tc>
      </w:tr>
      <w:tr w:rsidR="00232E85" w:rsidRPr="006379A6" w14:paraId="05F1AE17" w14:textId="77777777" w:rsidTr="00232E85">
        <w:tc>
          <w:tcPr>
            <w:tcW w:w="1525" w:type="dxa"/>
            <w:vAlign w:val="center"/>
          </w:tcPr>
          <w:p w14:paraId="604C2D3F" w14:textId="33BF632B" w:rsidR="00232E85" w:rsidRPr="006379A6" w:rsidRDefault="00232E85" w:rsidP="00232E85">
            <w:pPr>
              <w:rPr>
                <w:rFonts w:ascii="Times New Roman" w:hAnsi="Times New Roman" w:cs="Times New Roman"/>
                <w:color w:val="000000"/>
                <w:sz w:val="16"/>
                <w:szCs w:val="16"/>
              </w:rPr>
            </w:pPr>
            <w:r w:rsidRPr="00E263B9">
              <w:rPr>
                <w:rFonts w:ascii="Times New Roman" w:hAnsi="Times New Roman" w:cs="Times New Roman"/>
                <w:color w:val="000000"/>
                <w:sz w:val="16"/>
                <w:szCs w:val="16"/>
              </w:rPr>
              <w:t>Pool</w:t>
            </w:r>
          </w:p>
        </w:tc>
        <w:tc>
          <w:tcPr>
            <w:tcW w:w="990" w:type="dxa"/>
            <w:gridSpan w:val="2"/>
          </w:tcPr>
          <w:p w14:paraId="6570B568" w14:textId="77777777" w:rsidR="00232E85" w:rsidRPr="006379A6" w:rsidRDefault="00232E85" w:rsidP="00232E85">
            <w:pPr>
              <w:rPr>
                <w:rFonts w:ascii="Times New Roman" w:hAnsi="Times New Roman" w:cs="Times New Roman"/>
                <w:b/>
                <w:bCs/>
                <w:sz w:val="16"/>
                <w:szCs w:val="16"/>
              </w:rPr>
            </w:pPr>
          </w:p>
        </w:tc>
        <w:tc>
          <w:tcPr>
            <w:tcW w:w="1170" w:type="dxa"/>
            <w:gridSpan w:val="2"/>
          </w:tcPr>
          <w:p w14:paraId="2FEC49B9" w14:textId="77777777" w:rsidR="00232E85" w:rsidRPr="006379A6" w:rsidRDefault="00232E85" w:rsidP="00232E85">
            <w:pPr>
              <w:rPr>
                <w:rFonts w:ascii="Times New Roman" w:hAnsi="Times New Roman" w:cs="Times New Roman"/>
                <w:b/>
                <w:bCs/>
                <w:sz w:val="16"/>
                <w:szCs w:val="16"/>
              </w:rPr>
            </w:pPr>
          </w:p>
        </w:tc>
        <w:tc>
          <w:tcPr>
            <w:tcW w:w="7105" w:type="dxa"/>
            <w:gridSpan w:val="2"/>
          </w:tcPr>
          <w:p w14:paraId="16D50A1D" w14:textId="77777777" w:rsidR="00232E85" w:rsidRPr="006379A6" w:rsidRDefault="00232E85" w:rsidP="00232E85">
            <w:pPr>
              <w:rPr>
                <w:rFonts w:ascii="Times New Roman" w:hAnsi="Times New Roman" w:cs="Times New Roman"/>
                <w:b/>
                <w:bCs/>
                <w:sz w:val="16"/>
                <w:szCs w:val="16"/>
              </w:rPr>
            </w:pPr>
          </w:p>
        </w:tc>
      </w:tr>
      <w:tr w:rsidR="00232E85" w:rsidRPr="006379A6" w14:paraId="56A93692" w14:textId="77777777" w:rsidTr="00232E85">
        <w:tc>
          <w:tcPr>
            <w:tcW w:w="1525" w:type="dxa"/>
            <w:vAlign w:val="center"/>
          </w:tcPr>
          <w:p w14:paraId="574D5003" w14:textId="504C3ABE" w:rsidR="00232E85" w:rsidRPr="006379A6" w:rsidRDefault="00232E85" w:rsidP="00232E85">
            <w:pPr>
              <w:rPr>
                <w:rFonts w:ascii="Times New Roman" w:hAnsi="Times New Roman" w:cs="Times New Roman"/>
                <w:color w:val="000000"/>
                <w:sz w:val="16"/>
                <w:szCs w:val="16"/>
              </w:rPr>
            </w:pPr>
            <w:r w:rsidRPr="00E263B9">
              <w:rPr>
                <w:rFonts w:ascii="Times New Roman" w:hAnsi="Times New Roman" w:cs="Times New Roman"/>
                <w:color w:val="000000"/>
                <w:sz w:val="16"/>
                <w:szCs w:val="16"/>
              </w:rPr>
              <w:t>Refuse</w:t>
            </w:r>
          </w:p>
        </w:tc>
        <w:tc>
          <w:tcPr>
            <w:tcW w:w="990" w:type="dxa"/>
            <w:gridSpan w:val="2"/>
          </w:tcPr>
          <w:p w14:paraId="4C035AD5" w14:textId="77777777" w:rsidR="00232E85" w:rsidRPr="006379A6" w:rsidRDefault="00232E85" w:rsidP="00232E85">
            <w:pPr>
              <w:rPr>
                <w:rFonts w:ascii="Times New Roman" w:hAnsi="Times New Roman" w:cs="Times New Roman"/>
                <w:b/>
                <w:bCs/>
                <w:sz w:val="16"/>
                <w:szCs w:val="16"/>
              </w:rPr>
            </w:pPr>
          </w:p>
        </w:tc>
        <w:tc>
          <w:tcPr>
            <w:tcW w:w="1170" w:type="dxa"/>
            <w:gridSpan w:val="2"/>
          </w:tcPr>
          <w:p w14:paraId="37C06BC1" w14:textId="77777777" w:rsidR="00232E85" w:rsidRPr="006379A6" w:rsidRDefault="00232E85" w:rsidP="00232E85">
            <w:pPr>
              <w:rPr>
                <w:rFonts w:ascii="Times New Roman" w:hAnsi="Times New Roman" w:cs="Times New Roman"/>
                <w:b/>
                <w:bCs/>
                <w:sz w:val="16"/>
                <w:szCs w:val="16"/>
              </w:rPr>
            </w:pPr>
          </w:p>
        </w:tc>
        <w:tc>
          <w:tcPr>
            <w:tcW w:w="7105" w:type="dxa"/>
            <w:gridSpan w:val="2"/>
          </w:tcPr>
          <w:p w14:paraId="6BF2A4CD" w14:textId="77777777" w:rsidR="00232E85" w:rsidRPr="006379A6" w:rsidRDefault="00232E85" w:rsidP="00232E85">
            <w:pPr>
              <w:rPr>
                <w:rFonts w:ascii="Times New Roman" w:hAnsi="Times New Roman" w:cs="Times New Roman"/>
                <w:b/>
                <w:bCs/>
                <w:sz w:val="16"/>
                <w:szCs w:val="16"/>
              </w:rPr>
            </w:pPr>
          </w:p>
        </w:tc>
      </w:tr>
      <w:tr w:rsidR="00232E85" w:rsidRPr="006379A6" w14:paraId="0925E3C5" w14:textId="77777777" w:rsidTr="00232E85">
        <w:tc>
          <w:tcPr>
            <w:tcW w:w="1525" w:type="dxa"/>
            <w:vAlign w:val="center"/>
          </w:tcPr>
          <w:p w14:paraId="349F60AC" w14:textId="177667DD" w:rsidR="00232E85" w:rsidRPr="006379A6" w:rsidRDefault="00232E85" w:rsidP="00232E85">
            <w:pPr>
              <w:rPr>
                <w:rFonts w:ascii="Times New Roman" w:hAnsi="Times New Roman" w:cs="Times New Roman"/>
                <w:color w:val="000000"/>
                <w:sz w:val="16"/>
                <w:szCs w:val="16"/>
              </w:rPr>
            </w:pPr>
            <w:r w:rsidRPr="00E263B9">
              <w:rPr>
                <w:rFonts w:ascii="Times New Roman" w:hAnsi="Times New Roman" w:cs="Times New Roman"/>
                <w:color w:val="000000"/>
                <w:sz w:val="16"/>
                <w:szCs w:val="16"/>
              </w:rPr>
              <w:t>Sewer</w:t>
            </w:r>
          </w:p>
        </w:tc>
        <w:tc>
          <w:tcPr>
            <w:tcW w:w="990" w:type="dxa"/>
            <w:gridSpan w:val="2"/>
          </w:tcPr>
          <w:p w14:paraId="614C73F5" w14:textId="77777777" w:rsidR="00232E85" w:rsidRPr="006379A6" w:rsidRDefault="00232E85" w:rsidP="00232E85">
            <w:pPr>
              <w:rPr>
                <w:rFonts w:ascii="Times New Roman" w:hAnsi="Times New Roman" w:cs="Times New Roman"/>
                <w:b/>
                <w:bCs/>
                <w:sz w:val="16"/>
                <w:szCs w:val="16"/>
              </w:rPr>
            </w:pPr>
          </w:p>
        </w:tc>
        <w:tc>
          <w:tcPr>
            <w:tcW w:w="1170" w:type="dxa"/>
            <w:gridSpan w:val="2"/>
          </w:tcPr>
          <w:p w14:paraId="4D09772A" w14:textId="77777777" w:rsidR="00232E85" w:rsidRPr="006379A6" w:rsidRDefault="00232E85" w:rsidP="00232E85">
            <w:pPr>
              <w:rPr>
                <w:rFonts w:ascii="Times New Roman" w:hAnsi="Times New Roman" w:cs="Times New Roman"/>
                <w:b/>
                <w:bCs/>
                <w:sz w:val="16"/>
                <w:szCs w:val="16"/>
              </w:rPr>
            </w:pPr>
          </w:p>
        </w:tc>
        <w:tc>
          <w:tcPr>
            <w:tcW w:w="7105" w:type="dxa"/>
            <w:gridSpan w:val="2"/>
          </w:tcPr>
          <w:p w14:paraId="7F2D5514" w14:textId="77777777" w:rsidR="00232E85" w:rsidRPr="006379A6" w:rsidRDefault="00232E85" w:rsidP="00232E85">
            <w:pPr>
              <w:rPr>
                <w:rFonts w:ascii="Times New Roman" w:hAnsi="Times New Roman" w:cs="Times New Roman"/>
                <w:b/>
                <w:bCs/>
                <w:sz w:val="16"/>
                <w:szCs w:val="16"/>
              </w:rPr>
            </w:pPr>
          </w:p>
        </w:tc>
      </w:tr>
      <w:tr w:rsidR="00232E85" w:rsidRPr="006379A6" w14:paraId="28093B5A" w14:textId="77777777" w:rsidTr="00232E85">
        <w:tc>
          <w:tcPr>
            <w:tcW w:w="1525" w:type="dxa"/>
            <w:tcBorders>
              <w:bottom w:val="single" w:sz="4" w:space="0" w:color="auto"/>
            </w:tcBorders>
            <w:vAlign w:val="center"/>
          </w:tcPr>
          <w:p w14:paraId="0D9FA7A7" w14:textId="347B3EC9" w:rsidR="00232E85" w:rsidRPr="006379A6" w:rsidRDefault="00232E85" w:rsidP="00232E85">
            <w:pPr>
              <w:rPr>
                <w:rFonts w:ascii="Times New Roman" w:hAnsi="Times New Roman" w:cs="Times New Roman"/>
                <w:color w:val="000000"/>
                <w:sz w:val="16"/>
                <w:szCs w:val="16"/>
              </w:rPr>
            </w:pPr>
            <w:r w:rsidRPr="00E263B9">
              <w:rPr>
                <w:rFonts w:ascii="Times New Roman" w:hAnsi="Times New Roman" w:cs="Times New Roman"/>
                <w:color w:val="000000"/>
                <w:sz w:val="16"/>
                <w:szCs w:val="16"/>
              </w:rPr>
              <w:t>Water</w:t>
            </w:r>
          </w:p>
        </w:tc>
        <w:tc>
          <w:tcPr>
            <w:tcW w:w="990" w:type="dxa"/>
            <w:gridSpan w:val="2"/>
            <w:tcBorders>
              <w:bottom w:val="single" w:sz="4" w:space="0" w:color="auto"/>
            </w:tcBorders>
          </w:tcPr>
          <w:p w14:paraId="40EF7627" w14:textId="77777777" w:rsidR="00232E85" w:rsidRPr="006379A6" w:rsidRDefault="00232E85" w:rsidP="00232E85">
            <w:pPr>
              <w:rPr>
                <w:rFonts w:ascii="Times New Roman" w:hAnsi="Times New Roman" w:cs="Times New Roman"/>
                <w:b/>
                <w:bCs/>
                <w:sz w:val="16"/>
                <w:szCs w:val="16"/>
              </w:rPr>
            </w:pPr>
          </w:p>
        </w:tc>
        <w:tc>
          <w:tcPr>
            <w:tcW w:w="1170" w:type="dxa"/>
            <w:gridSpan w:val="2"/>
            <w:tcBorders>
              <w:bottom w:val="single" w:sz="4" w:space="0" w:color="auto"/>
            </w:tcBorders>
          </w:tcPr>
          <w:p w14:paraId="3D9490C2" w14:textId="77777777" w:rsidR="00232E85" w:rsidRPr="006379A6" w:rsidRDefault="00232E85" w:rsidP="00232E85">
            <w:pPr>
              <w:rPr>
                <w:rFonts w:ascii="Times New Roman" w:hAnsi="Times New Roman" w:cs="Times New Roman"/>
                <w:b/>
                <w:bCs/>
                <w:sz w:val="16"/>
                <w:szCs w:val="16"/>
              </w:rPr>
            </w:pPr>
          </w:p>
        </w:tc>
        <w:tc>
          <w:tcPr>
            <w:tcW w:w="7105" w:type="dxa"/>
            <w:gridSpan w:val="2"/>
            <w:tcBorders>
              <w:bottom w:val="single" w:sz="4" w:space="0" w:color="auto"/>
            </w:tcBorders>
          </w:tcPr>
          <w:p w14:paraId="07822D1C" w14:textId="77777777" w:rsidR="00232E85" w:rsidRPr="006379A6" w:rsidRDefault="00232E85" w:rsidP="00232E85">
            <w:pPr>
              <w:rPr>
                <w:rFonts w:ascii="Times New Roman" w:hAnsi="Times New Roman" w:cs="Times New Roman"/>
                <w:b/>
                <w:bCs/>
                <w:sz w:val="16"/>
                <w:szCs w:val="16"/>
              </w:rPr>
            </w:pPr>
          </w:p>
        </w:tc>
      </w:tr>
      <w:tr w:rsidR="00232E85" w:rsidRPr="006379A6" w14:paraId="012D5CCE" w14:textId="77777777" w:rsidTr="00232E85">
        <w:tc>
          <w:tcPr>
            <w:tcW w:w="1525" w:type="dxa"/>
            <w:tcBorders>
              <w:bottom w:val="single" w:sz="4" w:space="0" w:color="auto"/>
            </w:tcBorders>
            <w:vAlign w:val="center"/>
          </w:tcPr>
          <w:p w14:paraId="0536BDAC" w14:textId="77247304" w:rsidR="00232E85" w:rsidRPr="006379A6" w:rsidRDefault="00232E85" w:rsidP="00232E85">
            <w:pPr>
              <w:rPr>
                <w:rFonts w:ascii="Times New Roman" w:hAnsi="Times New Roman" w:cs="Times New Roman"/>
                <w:color w:val="000000"/>
                <w:sz w:val="16"/>
                <w:szCs w:val="16"/>
              </w:rPr>
            </w:pPr>
            <w:r w:rsidRPr="00E263B9">
              <w:rPr>
                <w:rFonts w:ascii="Times New Roman" w:hAnsi="Times New Roman" w:cs="Times New Roman"/>
                <w:color w:val="000000"/>
                <w:sz w:val="16"/>
                <w:szCs w:val="16"/>
              </w:rPr>
              <w:t>Yard Service</w:t>
            </w:r>
          </w:p>
        </w:tc>
        <w:tc>
          <w:tcPr>
            <w:tcW w:w="990" w:type="dxa"/>
            <w:gridSpan w:val="2"/>
            <w:tcBorders>
              <w:bottom w:val="single" w:sz="4" w:space="0" w:color="auto"/>
            </w:tcBorders>
          </w:tcPr>
          <w:p w14:paraId="20171806" w14:textId="77777777" w:rsidR="00232E85" w:rsidRPr="006379A6" w:rsidRDefault="00232E85" w:rsidP="00232E85">
            <w:pPr>
              <w:rPr>
                <w:rFonts w:ascii="Times New Roman" w:hAnsi="Times New Roman" w:cs="Times New Roman"/>
                <w:b/>
                <w:bCs/>
                <w:sz w:val="16"/>
                <w:szCs w:val="16"/>
              </w:rPr>
            </w:pPr>
          </w:p>
        </w:tc>
        <w:tc>
          <w:tcPr>
            <w:tcW w:w="1170" w:type="dxa"/>
            <w:gridSpan w:val="2"/>
            <w:tcBorders>
              <w:bottom w:val="single" w:sz="4" w:space="0" w:color="auto"/>
            </w:tcBorders>
          </w:tcPr>
          <w:p w14:paraId="31015BEC" w14:textId="77777777" w:rsidR="00232E85" w:rsidRPr="006379A6" w:rsidRDefault="00232E85" w:rsidP="00232E85">
            <w:pPr>
              <w:rPr>
                <w:rFonts w:ascii="Times New Roman" w:hAnsi="Times New Roman" w:cs="Times New Roman"/>
                <w:b/>
                <w:bCs/>
                <w:sz w:val="16"/>
                <w:szCs w:val="16"/>
              </w:rPr>
            </w:pPr>
          </w:p>
        </w:tc>
        <w:tc>
          <w:tcPr>
            <w:tcW w:w="7105" w:type="dxa"/>
            <w:gridSpan w:val="2"/>
            <w:tcBorders>
              <w:bottom w:val="single" w:sz="4" w:space="0" w:color="auto"/>
            </w:tcBorders>
          </w:tcPr>
          <w:p w14:paraId="1C3039FD" w14:textId="77777777" w:rsidR="00232E85" w:rsidRPr="006379A6" w:rsidRDefault="00232E85" w:rsidP="00232E85">
            <w:pPr>
              <w:rPr>
                <w:rFonts w:ascii="Times New Roman" w:hAnsi="Times New Roman" w:cs="Times New Roman"/>
                <w:b/>
                <w:bCs/>
                <w:sz w:val="16"/>
                <w:szCs w:val="16"/>
              </w:rPr>
            </w:pPr>
          </w:p>
        </w:tc>
      </w:tr>
      <w:tr w:rsidR="00232E85" w:rsidRPr="006379A6" w14:paraId="47454A5F" w14:textId="77777777" w:rsidTr="00232E85">
        <w:tc>
          <w:tcPr>
            <w:tcW w:w="2065" w:type="dxa"/>
            <w:gridSpan w:val="2"/>
            <w:tcBorders>
              <w:top w:val="single" w:sz="4" w:space="0" w:color="auto"/>
              <w:left w:val="nil"/>
              <w:bottom w:val="single" w:sz="4" w:space="0" w:color="auto"/>
              <w:right w:val="nil"/>
            </w:tcBorders>
            <w:vAlign w:val="center"/>
          </w:tcPr>
          <w:p w14:paraId="63577597" w14:textId="77777777" w:rsidR="00232E85" w:rsidRPr="006379A6" w:rsidRDefault="00232E85" w:rsidP="00232E85">
            <w:pPr>
              <w:rPr>
                <w:rFonts w:ascii="Times New Roman" w:hAnsi="Times New Roman" w:cs="Times New Roman"/>
                <w:color w:val="000000"/>
                <w:sz w:val="16"/>
                <w:szCs w:val="16"/>
              </w:rPr>
            </w:pPr>
          </w:p>
        </w:tc>
        <w:tc>
          <w:tcPr>
            <w:tcW w:w="1170" w:type="dxa"/>
            <w:gridSpan w:val="2"/>
            <w:tcBorders>
              <w:top w:val="single" w:sz="4" w:space="0" w:color="auto"/>
              <w:left w:val="nil"/>
              <w:bottom w:val="single" w:sz="4" w:space="0" w:color="auto"/>
              <w:right w:val="nil"/>
            </w:tcBorders>
          </w:tcPr>
          <w:p w14:paraId="2D47091C" w14:textId="77777777" w:rsidR="00232E85" w:rsidRPr="006379A6" w:rsidRDefault="00232E85" w:rsidP="00232E85">
            <w:pPr>
              <w:rPr>
                <w:rFonts w:ascii="Times New Roman" w:hAnsi="Times New Roman" w:cs="Times New Roman"/>
                <w:b/>
                <w:bCs/>
                <w:sz w:val="16"/>
                <w:szCs w:val="16"/>
              </w:rPr>
            </w:pPr>
          </w:p>
        </w:tc>
        <w:tc>
          <w:tcPr>
            <w:tcW w:w="1170" w:type="dxa"/>
            <w:gridSpan w:val="2"/>
            <w:tcBorders>
              <w:top w:val="single" w:sz="4" w:space="0" w:color="auto"/>
              <w:left w:val="nil"/>
              <w:bottom w:val="single" w:sz="4" w:space="0" w:color="auto"/>
              <w:right w:val="nil"/>
            </w:tcBorders>
          </w:tcPr>
          <w:p w14:paraId="19353630" w14:textId="77777777" w:rsidR="00232E85" w:rsidRPr="006379A6" w:rsidRDefault="00232E85" w:rsidP="00232E85">
            <w:pPr>
              <w:rPr>
                <w:rFonts w:ascii="Times New Roman" w:hAnsi="Times New Roman" w:cs="Times New Roman"/>
                <w:b/>
                <w:bCs/>
                <w:sz w:val="16"/>
                <w:szCs w:val="16"/>
              </w:rPr>
            </w:pPr>
          </w:p>
        </w:tc>
        <w:tc>
          <w:tcPr>
            <w:tcW w:w="6385" w:type="dxa"/>
            <w:tcBorders>
              <w:top w:val="single" w:sz="4" w:space="0" w:color="auto"/>
              <w:left w:val="nil"/>
              <w:bottom w:val="single" w:sz="4" w:space="0" w:color="auto"/>
              <w:right w:val="nil"/>
            </w:tcBorders>
          </w:tcPr>
          <w:p w14:paraId="296CA010" w14:textId="77777777" w:rsidR="00232E85" w:rsidRPr="006379A6" w:rsidRDefault="00232E85" w:rsidP="00232E85">
            <w:pPr>
              <w:rPr>
                <w:rFonts w:ascii="Times New Roman" w:hAnsi="Times New Roman" w:cs="Times New Roman"/>
                <w:b/>
                <w:bCs/>
                <w:sz w:val="16"/>
                <w:szCs w:val="16"/>
              </w:rPr>
            </w:pPr>
          </w:p>
        </w:tc>
      </w:tr>
      <w:tr w:rsidR="00232E85" w:rsidRPr="006379A6" w14:paraId="12DFDE2B" w14:textId="77777777" w:rsidTr="00232E85">
        <w:trPr>
          <w:trHeight w:val="1542"/>
        </w:trPr>
        <w:tc>
          <w:tcPr>
            <w:tcW w:w="10790" w:type="dxa"/>
            <w:gridSpan w:val="7"/>
            <w:tcBorders>
              <w:top w:val="single" w:sz="4" w:space="0" w:color="auto"/>
            </w:tcBorders>
          </w:tcPr>
          <w:p w14:paraId="636ACA4D" w14:textId="1E7C18D8" w:rsidR="00232E85" w:rsidRPr="006379A6" w:rsidRDefault="00232E85" w:rsidP="00232E85">
            <w:pPr>
              <w:rPr>
                <w:rFonts w:ascii="Times New Roman" w:hAnsi="Times New Roman" w:cs="Times New Roman"/>
                <w:b/>
                <w:bCs/>
                <w:sz w:val="16"/>
                <w:szCs w:val="16"/>
              </w:rPr>
            </w:pPr>
            <w:r>
              <w:rPr>
                <w:rFonts w:ascii="Times New Roman" w:hAnsi="Times New Roman" w:cs="Times New Roman"/>
                <w:b/>
                <w:bCs/>
                <w:sz w:val="16"/>
                <w:szCs w:val="16"/>
              </w:rPr>
              <w:t>ADDITIONAL NOTES:</w:t>
            </w:r>
          </w:p>
        </w:tc>
      </w:tr>
    </w:tbl>
    <w:p w14:paraId="0932CC62" w14:textId="77777777" w:rsidR="009156EB" w:rsidRDefault="009156EB" w:rsidP="00927D0C">
      <w:pPr>
        <w:rPr>
          <w:rFonts w:ascii="Times New Roman" w:hAnsi="Times New Roman" w:cs="Times New Roman"/>
          <w:b/>
          <w:bCs/>
          <w:sz w:val="20"/>
          <w:szCs w:val="20"/>
        </w:rPr>
      </w:pPr>
    </w:p>
    <w:p w14:paraId="74FEB3BC" w14:textId="77777777" w:rsidR="009156EB" w:rsidRDefault="009156EB" w:rsidP="00927D0C">
      <w:pPr>
        <w:rPr>
          <w:rFonts w:ascii="Times New Roman" w:hAnsi="Times New Roman" w:cs="Times New Roman"/>
          <w:b/>
          <w:bCs/>
          <w:sz w:val="20"/>
          <w:szCs w:val="20"/>
        </w:rPr>
      </w:pPr>
    </w:p>
    <w:p w14:paraId="2668EDA1" w14:textId="77777777" w:rsidR="00927D0C" w:rsidRPr="00E263B9" w:rsidRDefault="00927D0C" w:rsidP="00927D0C">
      <w:pPr>
        <w:pStyle w:val="ListParagraph"/>
        <w:numPr>
          <w:ilvl w:val="0"/>
          <w:numId w:val="34"/>
        </w:numPr>
        <w:rPr>
          <w:rFonts w:ascii="Times New Roman" w:hAnsi="Times New Roman" w:cs="Times New Roman"/>
          <w:b/>
          <w:bCs/>
          <w:sz w:val="20"/>
          <w:szCs w:val="20"/>
          <w:u w:val="single"/>
        </w:rPr>
      </w:pPr>
      <w:r w:rsidRPr="00E263B9">
        <w:rPr>
          <w:rFonts w:ascii="Times New Roman" w:hAnsi="Times New Roman" w:cs="Times New Roman"/>
          <w:b/>
          <w:bCs/>
          <w:sz w:val="20"/>
          <w:szCs w:val="20"/>
          <w:u w:val="single"/>
        </w:rPr>
        <w:t xml:space="preserve">Occupancy and Use </w:t>
      </w:r>
    </w:p>
    <w:p w14:paraId="0140E5AD" w14:textId="362A742F"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Authorized Occupants:</w:t>
      </w:r>
      <w:r w:rsidRPr="00E263B9">
        <w:rPr>
          <w:rFonts w:ascii="Times New Roman" w:hAnsi="Times New Roman" w:cs="Times New Roman"/>
          <w:sz w:val="20"/>
          <w:szCs w:val="20"/>
        </w:rPr>
        <w:t xml:space="preserve"> Only the persons named in this Rental Agreement and Addendum may occupy the property. No subletting or assigning the </w:t>
      </w:r>
      <w:r w:rsidR="00B802CC">
        <w:rPr>
          <w:rFonts w:ascii="Times New Roman" w:hAnsi="Times New Roman" w:cs="Times New Roman"/>
          <w:sz w:val="20"/>
          <w:szCs w:val="20"/>
        </w:rPr>
        <w:t>Rental Agreement</w:t>
      </w:r>
      <w:r w:rsidRPr="00E263B9">
        <w:rPr>
          <w:rFonts w:ascii="Times New Roman" w:hAnsi="Times New Roman" w:cs="Times New Roman"/>
          <w:sz w:val="20"/>
          <w:szCs w:val="20"/>
        </w:rPr>
        <w:t xml:space="preserve"> is permitted. An additional person may occupy the unit if approved by the </w:t>
      </w:r>
      <w:r w:rsidR="0064225A" w:rsidRPr="00E263B9">
        <w:rPr>
          <w:rFonts w:ascii="Times New Roman" w:hAnsi="Times New Roman" w:cs="Times New Roman"/>
          <w:sz w:val="20"/>
          <w:szCs w:val="20"/>
        </w:rPr>
        <w:t>Property Manager</w:t>
      </w:r>
      <w:r w:rsidRPr="00E263B9">
        <w:rPr>
          <w:rFonts w:ascii="Times New Roman" w:hAnsi="Times New Roman" w:cs="Times New Roman"/>
          <w:sz w:val="20"/>
          <w:szCs w:val="20"/>
        </w:rPr>
        <w:t xml:space="preserve"> and added to the </w:t>
      </w:r>
      <w:r w:rsidR="00B802CC">
        <w:rPr>
          <w:rFonts w:ascii="Times New Roman" w:hAnsi="Times New Roman" w:cs="Times New Roman"/>
          <w:sz w:val="20"/>
          <w:szCs w:val="20"/>
        </w:rPr>
        <w:t>Rental Agreement</w:t>
      </w:r>
      <w:r w:rsidRPr="00E263B9">
        <w:rPr>
          <w:rFonts w:ascii="Times New Roman" w:hAnsi="Times New Roman" w:cs="Times New Roman"/>
          <w:sz w:val="20"/>
          <w:szCs w:val="20"/>
        </w:rPr>
        <w:t xml:space="preserve">. </w:t>
      </w:r>
    </w:p>
    <w:p w14:paraId="78FE07F5" w14:textId="32988169"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Guest Policy:</w:t>
      </w:r>
      <w:r w:rsidRPr="00E263B9">
        <w:rPr>
          <w:rFonts w:ascii="Times New Roman" w:hAnsi="Times New Roman" w:cs="Times New Roman"/>
          <w:sz w:val="20"/>
          <w:szCs w:val="20"/>
        </w:rPr>
        <w:t xml:space="preserve"> Guests (max. 2) exceeding </w:t>
      </w:r>
      <w:r w:rsidR="00837D30">
        <w:rPr>
          <w:rFonts w:ascii="Times New Roman" w:hAnsi="Times New Roman" w:cs="Times New Roman"/>
          <w:sz w:val="20"/>
          <w:szCs w:val="20"/>
        </w:rPr>
        <w:t>three (</w:t>
      </w:r>
      <w:r w:rsidR="00E67791">
        <w:rPr>
          <w:rFonts w:ascii="Times New Roman" w:hAnsi="Times New Roman" w:cs="Times New Roman"/>
          <w:sz w:val="20"/>
          <w:szCs w:val="20"/>
        </w:rPr>
        <w:t>3</w:t>
      </w:r>
      <w:r w:rsidRPr="00E263B9">
        <w:rPr>
          <w:rFonts w:ascii="Times New Roman" w:hAnsi="Times New Roman" w:cs="Times New Roman"/>
          <w:sz w:val="20"/>
          <w:szCs w:val="20"/>
        </w:rPr>
        <w:t xml:space="preserve">) days require </w:t>
      </w:r>
      <w:r w:rsidR="0064225A" w:rsidRPr="00E263B9">
        <w:rPr>
          <w:rFonts w:ascii="Times New Roman" w:hAnsi="Times New Roman" w:cs="Times New Roman"/>
          <w:sz w:val="20"/>
          <w:szCs w:val="20"/>
        </w:rPr>
        <w:t>Property Manager</w:t>
      </w:r>
      <w:r w:rsidRPr="00E263B9">
        <w:rPr>
          <w:rFonts w:ascii="Times New Roman" w:hAnsi="Times New Roman" w:cs="Times New Roman"/>
          <w:sz w:val="20"/>
          <w:szCs w:val="20"/>
        </w:rPr>
        <w:t xml:space="preserve"> permission. </w:t>
      </w:r>
      <w:r w:rsidR="0064225A" w:rsidRPr="00E263B9">
        <w:rPr>
          <w:rFonts w:ascii="Times New Roman" w:hAnsi="Times New Roman" w:cs="Times New Roman"/>
          <w:sz w:val="20"/>
          <w:szCs w:val="20"/>
        </w:rPr>
        <w:t>Property Manager</w:t>
      </w:r>
      <w:r w:rsidRPr="00E263B9">
        <w:rPr>
          <w:rFonts w:ascii="Times New Roman" w:hAnsi="Times New Roman" w:cs="Times New Roman"/>
          <w:sz w:val="20"/>
          <w:szCs w:val="20"/>
        </w:rPr>
        <w:t xml:space="preserve"> may deny excessive guests (defined as more than 4 guests at any time or stays causing noise/disturbance complaints). No guests when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s are absent without </w:t>
      </w:r>
      <w:r w:rsidR="0064225A" w:rsidRPr="00E263B9">
        <w:rPr>
          <w:rFonts w:ascii="Times New Roman" w:hAnsi="Times New Roman" w:cs="Times New Roman"/>
          <w:sz w:val="20"/>
          <w:szCs w:val="20"/>
        </w:rPr>
        <w:t>Property Manager</w:t>
      </w:r>
      <w:r w:rsidRPr="00E263B9">
        <w:rPr>
          <w:rFonts w:ascii="Times New Roman" w:hAnsi="Times New Roman" w:cs="Times New Roman"/>
          <w:sz w:val="20"/>
          <w:szCs w:val="20"/>
        </w:rPr>
        <w:t xml:space="preserve"> consent. </w:t>
      </w:r>
    </w:p>
    <w:p w14:paraId="761AF8C7" w14:textId="77777777"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No Smoking:</w:t>
      </w:r>
      <w:r w:rsidRPr="00E263B9">
        <w:rPr>
          <w:rFonts w:ascii="Times New Roman" w:hAnsi="Times New Roman" w:cs="Times New Roman"/>
          <w:sz w:val="20"/>
          <w:szCs w:val="20"/>
        </w:rPr>
        <w:t xml:space="preserve"> Absolutely no smoking on the property, including e-cigarettes, vaping, or marijuana.</w:t>
      </w:r>
    </w:p>
    <w:p w14:paraId="1FBD7379" w14:textId="08423F06" w:rsidR="00FD70EA" w:rsidRPr="00E263B9" w:rsidRDefault="00927D0C" w:rsidP="00FD70EA">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Residential Use Only:</w:t>
      </w:r>
      <w:r w:rsidRPr="00E263B9">
        <w:rPr>
          <w:rFonts w:ascii="Times New Roman" w:hAnsi="Times New Roman" w:cs="Times New Roman"/>
          <w:sz w:val="20"/>
          <w:szCs w:val="20"/>
        </w:rPr>
        <w:t xml:space="preserve"> Property is for residen</w:t>
      </w:r>
      <w:r w:rsidR="00B70226" w:rsidRPr="00E263B9">
        <w:rPr>
          <w:rFonts w:ascii="Times New Roman" w:hAnsi="Times New Roman" w:cs="Times New Roman"/>
          <w:sz w:val="20"/>
          <w:szCs w:val="20"/>
        </w:rPr>
        <w:t>tial use</w:t>
      </w:r>
      <w:r w:rsidRPr="00E263B9">
        <w:rPr>
          <w:rFonts w:ascii="Times New Roman" w:hAnsi="Times New Roman" w:cs="Times New Roman"/>
          <w:sz w:val="20"/>
          <w:szCs w:val="20"/>
        </w:rPr>
        <w:t xml:space="preserve"> only; no commercial, retail, or business activity except home office without on-site clients or deliveries that disrupt the property.</w:t>
      </w:r>
    </w:p>
    <w:p w14:paraId="6E16E6B2" w14:textId="76DDBDF8" w:rsidR="00FD70EA" w:rsidRPr="00605AEA" w:rsidRDefault="00FD70EA" w:rsidP="00FD70EA">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Sales:</w:t>
      </w:r>
      <w:r w:rsidRPr="00E263B9">
        <w:rPr>
          <w:rFonts w:ascii="Times New Roman" w:hAnsi="Times New Roman" w:cs="Times New Roman"/>
          <w:sz w:val="20"/>
          <w:szCs w:val="20"/>
        </w:rPr>
        <w:t xml:space="preserve"> Garage sales, yard sales, or any sale of personal items on the property premises are strictly prohibited.</w:t>
      </w:r>
    </w:p>
    <w:p w14:paraId="7328ADD0" w14:textId="77777777" w:rsidR="00605AEA" w:rsidRPr="00E263B9" w:rsidRDefault="00605AEA" w:rsidP="00605AEA">
      <w:pPr>
        <w:pStyle w:val="ListParagraph"/>
        <w:ind w:left="1440"/>
        <w:rPr>
          <w:rFonts w:ascii="Times New Roman" w:hAnsi="Times New Roman" w:cs="Times New Roman"/>
          <w:sz w:val="20"/>
          <w:szCs w:val="20"/>
          <w:u w:val="single"/>
        </w:rPr>
      </w:pPr>
    </w:p>
    <w:p w14:paraId="232FA239" w14:textId="77777777" w:rsidR="00927D0C" w:rsidRPr="00E263B9" w:rsidRDefault="00927D0C" w:rsidP="00927D0C">
      <w:pPr>
        <w:pStyle w:val="ListParagraph"/>
        <w:numPr>
          <w:ilvl w:val="0"/>
          <w:numId w:val="34"/>
        </w:numPr>
        <w:rPr>
          <w:rFonts w:ascii="Times New Roman" w:hAnsi="Times New Roman" w:cs="Times New Roman"/>
          <w:b/>
          <w:bCs/>
          <w:sz w:val="20"/>
          <w:szCs w:val="20"/>
          <w:u w:val="single"/>
        </w:rPr>
      </w:pPr>
      <w:r w:rsidRPr="00E263B9">
        <w:rPr>
          <w:rFonts w:ascii="Times New Roman" w:hAnsi="Times New Roman" w:cs="Times New Roman"/>
          <w:b/>
          <w:bCs/>
          <w:sz w:val="20"/>
          <w:szCs w:val="20"/>
          <w:u w:val="single"/>
        </w:rPr>
        <w:lastRenderedPageBreak/>
        <w:t>Rent and Payments</w:t>
      </w:r>
    </w:p>
    <w:p w14:paraId="4B446EE5" w14:textId="77777777"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Payment Deadline:</w:t>
      </w:r>
      <w:r w:rsidRPr="00E263B9">
        <w:rPr>
          <w:rFonts w:ascii="Times New Roman" w:hAnsi="Times New Roman" w:cs="Times New Roman"/>
          <w:sz w:val="20"/>
          <w:szCs w:val="20"/>
        </w:rPr>
        <w:t xml:space="preserve"> Rent is due by 4:00 p.m. on the 1st day of the month. If the 1st is a weekend or holiday, rent is due by 4:00 p.m. on the next business day. </w:t>
      </w:r>
    </w:p>
    <w:p w14:paraId="48262192" w14:textId="70787D1A"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Late Fees:</w:t>
      </w:r>
      <w:r w:rsidRPr="00E263B9">
        <w:rPr>
          <w:rFonts w:ascii="Times New Roman" w:hAnsi="Times New Roman" w:cs="Times New Roman"/>
          <w:sz w:val="20"/>
          <w:szCs w:val="20"/>
        </w:rPr>
        <w:t xml:space="preserve"> If rent is not received by 4:00 PM on the 3rd day of the month a late fee is applied (not exceeding 8% of monthly rent as per Hawaii law), plus interest at 12% per year on unpaid sums.</w:t>
      </w:r>
    </w:p>
    <w:p w14:paraId="435F5102" w14:textId="77A49368" w:rsidR="00927D0C" w:rsidRPr="00605AEA"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Returned Checks:</w:t>
      </w:r>
      <w:r w:rsidRPr="00E263B9">
        <w:rPr>
          <w:rFonts w:ascii="Times New Roman" w:hAnsi="Times New Roman" w:cs="Times New Roman"/>
          <w:sz w:val="20"/>
          <w:szCs w:val="20"/>
        </w:rPr>
        <w:t xml:space="preserve"> $50 handling fee for returned checks. </w:t>
      </w:r>
      <w:r w:rsidR="0064225A" w:rsidRPr="00E263B9">
        <w:rPr>
          <w:rFonts w:ascii="Times New Roman" w:hAnsi="Times New Roman" w:cs="Times New Roman"/>
          <w:sz w:val="20"/>
          <w:szCs w:val="20"/>
        </w:rPr>
        <w:t>Property Manager</w:t>
      </w:r>
      <w:r w:rsidRPr="00E263B9">
        <w:rPr>
          <w:rFonts w:ascii="Times New Roman" w:hAnsi="Times New Roman" w:cs="Times New Roman"/>
          <w:sz w:val="20"/>
          <w:szCs w:val="20"/>
        </w:rPr>
        <w:t xml:space="preserve"> may require cash, money order, or cashier’s check thereafter. Late fee applies if return causes delay.</w:t>
      </w:r>
    </w:p>
    <w:p w14:paraId="0B77C507" w14:textId="77777777" w:rsidR="00605AEA" w:rsidRPr="00E263B9" w:rsidRDefault="00605AEA" w:rsidP="00605AEA">
      <w:pPr>
        <w:pStyle w:val="ListParagraph"/>
        <w:ind w:left="1440"/>
        <w:rPr>
          <w:rFonts w:ascii="Times New Roman" w:hAnsi="Times New Roman" w:cs="Times New Roman"/>
          <w:sz w:val="20"/>
          <w:szCs w:val="20"/>
          <w:u w:val="single"/>
        </w:rPr>
      </w:pPr>
    </w:p>
    <w:p w14:paraId="59FA6515" w14:textId="77777777" w:rsidR="00927D0C" w:rsidRPr="00E263B9" w:rsidRDefault="00927D0C" w:rsidP="00927D0C">
      <w:pPr>
        <w:pStyle w:val="ListParagraph"/>
        <w:numPr>
          <w:ilvl w:val="0"/>
          <w:numId w:val="34"/>
        </w:numPr>
        <w:rPr>
          <w:rFonts w:ascii="Times New Roman" w:hAnsi="Times New Roman" w:cs="Times New Roman"/>
          <w:b/>
          <w:bCs/>
          <w:sz w:val="20"/>
          <w:szCs w:val="20"/>
          <w:u w:val="single"/>
        </w:rPr>
      </w:pPr>
      <w:r w:rsidRPr="00E263B9">
        <w:rPr>
          <w:rFonts w:ascii="Times New Roman" w:hAnsi="Times New Roman" w:cs="Times New Roman"/>
          <w:b/>
          <w:bCs/>
          <w:sz w:val="20"/>
          <w:szCs w:val="20"/>
          <w:u w:val="single"/>
        </w:rPr>
        <w:t>Security Deposit</w:t>
      </w:r>
    </w:p>
    <w:p w14:paraId="42305CB5" w14:textId="3F7F83D1"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Non-Applicable to Rent:</w:t>
      </w:r>
      <w:r w:rsidRPr="00E263B9">
        <w:rPr>
          <w:rFonts w:ascii="Times New Roman" w:hAnsi="Times New Roman" w:cs="Times New Roman"/>
          <w:sz w:val="20"/>
          <w:szCs w:val="20"/>
        </w:rPr>
        <w:t xml:space="preserve"> Security deposit cannot be used by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as last month’s rent.</w:t>
      </w:r>
    </w:p>
    <w:p w14:paraId="0A380485" w14:textId="1CFE36D8"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Refund Process:</w:t>
      </w:r>
      <w:r w:rsidRPr="00E263B9">
        <w:rPr>
          <w:rFonts w:ascii="Times New Roman" w:hAnsi="Times New Roman" w:cs="Times New Roman"/>
          <w:sz w:val="20"/>
          <w:szCs w:val="20"/>
        </w:rPr>
        <w:t xml:space="preserve"> </w:t>
      </w:r>
      <w:r w:rsidR="00B70226" w:rsidRPr="00E263B9">
        <w:rPr>
          <w:rFonts w:ascii="Times New Roman" w:hAnsi="Times New Roman" w:cs="Times New Roman"/>
          <w:sz w:val="20"/>
          <w:szCs w:val="20"/>
        </w:rPr>
        <w:t xml:space="preserve">Security Deposit </w:t>
      </w:r>
      <w:r w:rsidR="00837D30">
        <w:rPr>
          <w:rFonts w:ascii="Times New Roman" w:hAnsi="Times New Roman" w:cs="Times New Roman"/>
          <w:sz w:val="20"/>
          <w:szCs w:val="20"/>
        </w:rPr>
        <w:t>issued</w:t>
      </w:r>
      <w:r w:rsidRPr="00E263B9">
        <w:rPr>
          <w:rFonts w:ascii="Times New Roman" w:hAnsi="Times New Roman" w:cs="Times New Roman"/>
          <w:sz w:val="20"/>
          <w:szCs w:val="20"/>
        </w:rPr>
        <w:t xml:space="preserve"> within 14 calendar days of vacating (per Hawaii Landlord-</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Code), less expenses</w:t>
      </w:r>
      <w:r w:rsidR="003D26F2">
        <w:rPr>
          <w:rFonts w:ascii="Times New Roman" w:hAnsi="Times New Roman" w:cs="Times New Roman"/>
          <w:sz w:val="20"/>
          <w:szCs w:val="20"/>
        </w:rPr>
        <w:t xml:space="preserve"> or holdbacks</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follows vacating checklist to minimize deductions.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must provide forwarding address in writing at move-out for refund mailing.</w:t>
      </w:r>
    </w:p>
    <w:p w14:paraId="1FA77A22" w14:textId="0E797EBA" w:rsidR="00927D0C" w:rsidRPr="00605AEA"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Post-Inspection Repairs:</w:t>
      </w:r>
      <w:r w:rsidRPr="00E263B9">
        <w:rPr>
          <w:rFonts w:ascii="Times New Roman" w:hAnsi="Times New Roman" w:cs="Times New Roman"/>
          <w:sz w:val="20"/>
          <w:szCs w:val="20"/>
        </w:rPr>
        <w:t xml:space="preserve"> Following the move-out inspection, any repairs necessary due to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negligence or damage beyond normal wear and tear will be performed at the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's expense and deducted from the security deposit.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approval for such repairs is not required. The </w:t>
      </w:r>
      <w:r w:rsidR="00B802CC">
        <w:rPr>
          <w:rFonts w:ascii="Times New Roman" w:hAnsi="Times New Roman" w:cs="Times New Roman"/>
          <w:sz w:val="20"/>
          <w:szCs w:val="20"/>
        </w:rPr>
        <w:t>P</w:t>
      </w:r>
      <w:r w:rsidRPr="00E263B9">
        <w:rPr>
          <w:rFonts w:ascii="Times New Roman" w:hAnsi="Times New Roman" w:cs="Times New Roman"/>
          <w:sz w:val="20"/>
          <w:szCs w:val="20"/>
        </w:rPr>
        <w:t xml:space="preserve">roperty </w:t>
      </w:r>
      <w:r w:rsidR="00B802CC">
        <w:rPr>
          <w:rFonts w:ascii="Times New Roman" w:hAnsi="Times New Roman" w:cs="Times New Roman"/>
          <w:sz w:val="20"/>
          <w:szCs w:val="20"/>
        </w:rPr>
        <w:t>M</w:t>
      </w:r>
      <w:r w:rsidRPr="00E263B9">
        <w:rPr>
          <w:rFonts w:ascii="Times New Roman" w:hAnsi="Times New Roman" w:cs="Times New Roman"/>
          <w:sz w:val="20"/>
          <w:szCs w:val="20"/>
        </w:rPr>
        <w:t>anager will not charge any administrative fees or markups on the repairs; deductions will reflect actual costs only.</w:t>
      </w:r>
    </w:p>
    <w:p w14:paraId="3E7159F5" w14:textId="77777777" w:rsidR="00605AEA" w:rsidRPr="00E263B9" w:rsidRDefault="00605AEA" w:rsidP="00605AEA">
      <w:pPr>
        <w:pStyle w:val="ListParagraph"/>
        <w:ind w:left="1440"/>
        <w:rPr>
          <w:rFonts w:ascii="Times New Roman" w:hAnsi="Times New Roman" w:cs="Times New Roman"/>
          <w:sz w:val="20"/>
          <w:szCs w:val="20"/>
          <w:u w:val="single"/>
        </w:rPr>
      </w:pPr>
    </w:p>
    <w:p w14:paraId="4BF7CC54" w14:textId="77777777" w:rsidR="00927D0C" w:rsidRPr="00E263B9" w:rsidRDefault="00927D0C" w:rsidP="00927D0C">
      <w:pPr>
        <w:pStyle w:val="ListParagraph"/>
        <w:numPr>
          <w:ilvl w:val="0"/>
          <w:numId w:val="34"/>
        </w:numPr>
        <w:rPr>
          <w:rFonts w:ascii="Times New Roman" w:hAnsi="Times New Roman" w:cs="Times New Roman"/>
          <w:b/>
          <w:bCs/>
          <w:sz w:val="20"/>
          <w:szCs w:val="20"/>
          <w:u w:val="single"/>
        </w:rPr>
      </w:pPr>
      <w:r w:rsidRPr="00E263B9">
        <w:rPr>
          <w:rFonts w:ascii="Times New Roman" w:hAnsi="Times New Roman" w:cs="Times New Roman"/>
          <w:b/>
          <w:bCs/>
          <w:sz w:val="20"/>
          <w:szCs w:val="20"/>
          <w:u w:val="single"/>
        </w:rPr>
        <w:t>Maintenance and Repairs</w:t>
      </w:r>
    </w:p>
    <w:p w14:paraId="6C059117" w14:textId="0E8C841B"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Reporting Damage:</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s must notify the </w:t>
      </w:r>
      <w:r w:rsidR="0064225A" w:rsidRPr="00E263B9">
        <w:rPr>
          <w:rFonts w:ascii="Times New Roman" w:hAnsi="Times New Roman" w:cs="Times New Roman"/>
          <w:sz w:val="20"/>
          <w:szCs w:val="20"/>
        </w:rPr>
        <w:t>Property Manager</w:t>
      </w:r>
      <w:r w:rsidRPr="00E263B9">
        <w:rPr>
          <w:rFonts w:ascii="Times New Roman" w:hAnsi="Times New Roman" w:cs="Times New Roman"/>
          <w:sz w:val="20"/>
          <w:szCs w:val="20"/>
        </w:rPr>
        <w:t xml:space="preserve"> of any leaks, damage, or required repairs—including plumbing stoppages, irrigation, or landscaping issues—immediately after discovery or cause.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is liable for negligence-caused damage (e.g., plumbing stoppages). </w:t>
      </w:r>
    </w:p>
    <w:p w14:paraId="39D9B788" w14:textId="678D8CDD"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Cleanliness:</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must keep the interior and exterior clean, including sidewalks, driveways, lanais, porches, sills, walls, and immediate premises. Professional cleaning of interior, carpets, blinds, windows, and screens is required at move-out at </w:t>
      </w:r>
      <w:r w:rsidR="00B802CC">
        <w:rPr>
          <w:rFonts w:ascii="Times New Roman" w:hAnsi="Times New Roman" w:cs="Times New Roman"/>
          <w:sz w:val="20"/>
          <w:szCs w:val="20"/>
        </w:rPr>
        <w:t>Tenant</w:t>
      </w:r>
      <w:r w:rsidRPr="00E263B9">
        <w:rPr>
          <w:rFonts w:ascii="Times New Roman" w:hAnsi="Times New Roman" w:cs="Times New Roman"/>
          <w:sz w:val="20"/>
          <w:szCs w:val="20"/>
        </w:rPr>
        <w:t>’s expense (receipt required). Excessive soiling (e.g., walls) is a breach</w:t>
      </w:r>
      <w:r w:rsidR="003D26F2">
        <w:rPr>
          <w:rFonts w:ascii="Times New Roman" w:hAnsi="Times New Roman" w:cs="Times New Roman"/>
          <w:sz w:val="20"/>
          <w:szCs w:val="20"/>
        </w:rPr>
        <w:t xml:space="preserve"> of contract</w:t>
      </w:r>
      <w:r w:rsidRPr="00E263B9">
        <w:rPr>
          <w:rFonts w:ascii="Times New Roman" w:hAnsi="Times New Roman" w:cs="Times New Roman"/>
          <w:sz w:val="20"/>
          <w:szCs w:val="20"/>
        </w:rPr>
        <w:t xml:space="preserve">, not normal wear and tear. If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fails to maintain cleanliness, </w:t>
      </w:r>
      <w:r w:rsidR="0064225A" w:rsidRPr="00E263B9">
        <w:rPr>
          <w:rFonts w:ascii="Times New Roman" w:hAnsi="Times New Roman" w:cs="Times New Roman"/>
          <w:sz w:val="20"/>
          <w:szCs w:val="20"/>
        </w:rPr>
        <w:t>Property Manager</w:t>
      </w:r>
      <w:r w:rsidRPr="00E263B9">
        <w:rPr>
          <w:rFonts w:ascii="Times New Roman" w:hAnsi="Times New Roman" w:cs="Times New Roman"/>
          <w:sz w:val="20"/>
          <w:szCs w:val="20"/>
        </w:rPr>
        <w:t xml:space="preserve"> will arrange services at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’s expense, with a minimum charge of $200 plus actual costs. </w:t>
      </w:r>
    </w:p>
    <w:p w14:paraId="53BA7AC3" w14:textId="2C35FD76" w:rsidR="009116A3" w:rsidRPr="009116A3" w:rsidRDefault="00927D0C" w:rsidP="009116A3">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Garbage Disposal and Storage:</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s are responsible for properly disposing of garbage. No storage of items or garbage outside, on decks, or under the unit; only working vehicles and outdoor furniture permitted. If non-cleanliness leads to pest infestation,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responsible for cost of pest treatment. </w:t>
      </w:r>
    </w:p>
    <w:p w14:paraId="38669940" w14:textId="62811FDF" w:rsidR="009116A3" w:rsidRPr="009116A3" w:rsidRDefault="00927D0C" w:rsidP="009116A3">
      <w:pPr>
        <w:pStyle w:val="ListParagraph"/>
        <w:numPr>
          <w:ilvl w:val="1"/>
          <w:numId w:val="34"/>
        </w:numPr>
        <w:rPr>
          <w:rFonts w:ascii="Times New Roman" w:hAnsi="Times New Roman" w:cs="Times New Roman"/>
          <w:sz w:val="20"/>
          <w:szCs w:val="20"/>
          <w:u w:val="single"/>
        </w:rPr>
      </w:pPr>
      <w:r w:rsidRPr="009116A3">
        <w:rPr>
          <w:rFonts w:ascii="Times New Roman" w:hAnsi="Times New Roman" w:cs="Times New Roman"/>
          <w:b/>
          <w:bCs/>
          <w:sz w:val="20"/>
          <w:szCs w:val="20"/>
        </w:rPr>
        <w:t>Pest Control:</w:t>
      </w:r>
      <w:r w:rsidRPr="009116A3">
        <w:rPr>
          <w:rFonts w:ascii="Times New Roman" w:hAnsi="Times New Roman" w:cs="Times New Roman"/>
          <w:sz w:val="20"/>
          <w:szCs w:val="20"/>
        </w:rPr>
        <w:t xml:space="preserve"> </w:t>
      </w:r>
      <w:r w:rsidR="00B802CC">
        <w:rPr>
          <w:rFonts w:ascii="Times New Roman" w:hAnsi="Times New Roman" w:cs="Times New Roman"/>
          <w:sz w:val="20"/>
          <w:szCs w:val="20"/>
        </w:rPr>
        <w:t>Tenant</w:t>
      </w:r>
      <w:r w:rsidR="009116A3" w:rsidRPr="009116A3">
        <w:rPr>
          <w:rFonts w:ascii="Times New Roman" w:hAnsi="Times New Roman" w:cs="Times New Roman"/>
          <w:sz w:val="20"/>
          <w:szCs w:val="20"/>
        </w:rPr>
        <w:t xml:space="preserve"> is responsible for ongoing pest control. If Landlord provides pest control services, it is a discretionary </w:t>
      </w:r>
      <w:r w:rsidR="00850E68">
        <w:rPr>
          <w:rFonts w:ascii="Times New Roman" w:hAnsi="Times New Roman" w:cs="Times New Roman"/>
          <w:sz w:val="20"/>
          <w:szCs w:val="20"/>
        </w:rPr>
        <w:t>service</w:t>
      </w:r>
      <w:r w:rsidR="009116A3" w:rsidRPr="009116A3">
        <w:rPr>
          <w:rFonts w:ascii="Times New Roman" w:hAnsi="Times New Roman" w:cs="Times New Roman"/>
          <w:sz w:val="20"/>
          <w:szCs w:val="20"/>
        </w:rPr>
        <w:t xml:space="preserve"> that may be discontinued at any time without notice or liability. If pest control is provided by the </w:t>
      </w:r>
      <w:r w:rsidR="00850E68">
        <w:rPr>
          <w:rFonts w:ascii="Times New Roman" w:hAnsi="Times New Roman" w:cs="Times New Roman"/>
          <w:sz w:val="20"/>
          <w:szCs w:val="20"/>
        </w:rPr>
        <w:t>Landlord</w:t>
      </w:r>
      <w:r w:rsidR="009116A3" w:rsidRPr="009116A3">
        <w:rPr>
          <w:rFonts w:ascii="Times New Roman" w:hAnsi="Times New Roman" w:cs="Times New Roman"/>
          <w:sz w:val="20"/>
          <w:szCs w:val="20"/>
        </w:rPr>
        <w:t xml:space="preserve"> or </w:t>
      </w:r>
      <w:r w:rsidR="00850E68">
        <w:rPr>
          <w:rFonts w:ascii="Times New Roman" w:hAnsi="Times New Roman" w:cs="Times New Roman"/>
          <w:sz w:val="20"/>
          <w:szCs w:val="20"/>
        </w:rPr>
        <w:t>Association</w:t>
      </w:r>
      <w:r w:rsidR="009116A3" w:rsidRPr="009116A3">
        <w:rPr>
          <w:rFonts w:ascii="Times New Roman" w:hAnsi="Times New Roman" w:cs="Times New Roman"/>
          <w:sz w:val="20"/>
          <w:szCs w:val="20"/>
        </w:rPr>
        <w:t xml:space="preserve">, </w:t>
      </w:r>
      <w:r w:rsidR="00B802CC">
        <w:rPr>
          <w:rFonts w:ascii="Times New Roman" w:hAnsi="Times New Roman" w:cs="Times New Roman"/>
          <w:sz w:val="20"/>
          <w:szCs w:val="20"/>
        </w:rPr>
        <w:t>Tenant</w:t>
      </w:r>
      <w:r w:rsidR="009116A3" w:rsidRPr="009116A3">
        <w:rPr>
          <w:rFonts w:ascii="Times New Roman" w:hAnsi="Times New Roman" w:cs="Times New Roman"/>
          <w:sz w:val="20"/>
          <w:szCs w:val="20"/>
        </w:rPr>
        <w:t xml:space="preserve">s must allow access for servicing the interior and exterior of the property; it is not optional. </w:t>
      </w:r>
      <w:r w:rsidR="00B802CC">
        <w:rPr>
          <w:rFonts w:ascii="Times New Roman" w:hAnsi="Times New Roman" w:cs="Times New Roman"/>
          <w:sz w:val="20"/>
          <w:szCs w:val="20"/>
        </w:rPr>
        <w:t>Tenant</w:t>
      </w:r>
      <w:r w:rsidR="009116A3" w:rsidRPr="009116A3">
        <w:rPr>
          <w:rFonts w:ascii="Times New Roman" w:hAnsi="Times New Roman" w:cs="Times New Roman"/>
          <w:sz w:val="20"/>
          <w:szCs w:val="20"/>
        </w:rPr>
        <w:t xml:space="preserve"> must prevent infestations by proper waste disposal and reporting issues within 24 hours.</w:t>
      </w:r>
    </w:p>
    <w:p w14:paraId="1E86A475" w14:textId="0A7744EC" w:rsidR="00927D0C" w:rsidRPr="009116A3" w:rsidRDefault="00927D0C" w:rsidP="00571330">
      <w:pPr>
        <w:pStyle w:val="ListParagraph"/>
        <w:numPr>
          <w:ilvl w:val="1"/>
          <w:numId w:val="34"/>
        </w:numPr>
        <w:rPr>
          <w:rFonts w:ascii="Times New Roman" w:hAnsi="Times New Roman" w:cs="Times New Roman"/>
          <w:sz w:val="20"/>
          <w:szCs w:val="20"/>
          <w:u w:val="single"/>
        </w:rPr>
      </w:pPr>
      <w:r w:rsidRPr="009116A3">
        <w:rPr>
          <w:rFonts w:ascii="Times New Roman" w:hAnsi="Times New Roman" w:cs="Times New Roman"/>
          <w:b/>
          <w:bCs/>
          <w:sz w:val="20"/>
          <w:szCs w:val="20"/>
        </w:rPr>
        <w:t>Plumbing:</w:t>
      </w:r>
      <w:r w:rsidRPr="009116A3">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9116A3">
        <w:rPr>
          <w:rFonts w:ascii="Times New Roman" w:hAnsi="Times New Roman" w:cs="Times New Roman"/>
          <w:sz w:val="20"/>
          <w:szCs w:val="20"/>
        </w:rPr>
        <w:t xml:space="preserve"> must not cause plumbing stoppages by disposing of improper items, such as excessive grease, oil, hair, wipes, feminine products, or foreign objects. If a stoppage (e.g., toilet backup requiring plunging or snaking) is determined to be due to </w:t>
      </w:r>
      <w:r w:rsidR="00B802CC">
        <w:rPr>
          <w:rFonts w:ascii="Times New Roman" w:hAnsi="Times New Roman" w:cs="Times New Roman"/>
          <w:sz w:val="20"/>
          <w:szCs w:val="20"/>
        </w:rPr>
        <w:t>Tenant</w:t>
      </w:r>
      <w:r w:rsidRPr="009116A3">
        <w:rPr>
          <w:rFonts w:ascii="Times New Roman" w:hAnsi="Times New Roman" w:cs="Times New Roman"/>
          <w:sz w:val="20"/>
          <w:szCs w:val="20"/>
        </w:rPr>
        <w:t xml:space="preserve"> negligence, </w:t>
      </w:r>
      <w:r w:rsidR="00B802CC">
        <w:rPr>
          <w:rFonts w:ascii="Times New Roman" w:hAnsi="Times New Roman" w:cs="Times New Roman"/>
          <w:sz w:val="20"/>
          <w:szCs w:val="20"/>
        </w:rPr>
        <w:t>Tenant</w:t>
      </w:r>
      <w:r w:rsidRPr="009116A3">
        <w:rPr>
          <w:rFonts w:ascii="Times New Roman" w:hAnsi="Times New Roman" w:cs="Times New Roman"/>
          <w:sz w:val="20"/>
          <w:szCs w:val="20"/>
        </w:rPr>
        <w:t xml:space="preserve"> is fully responsible for repair costs, including any emergency plumber fees. </w:t>
      </w:r>
    </w:p>
    <w:p w14:paraId="7C8216CC" w14:textId="77777777"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Shoe Policy:</w:t>
      </w:r>
      <w:r w:rsidRPr="00E263B9">
        <w:rPr>
          <w:rFonts w:ascii="Times New Roman" w:hAnsi="Times New Roman" w:cs="Times New Roman"/>
          <w:sz w:val="20"/>
          <w:szCs w:val="20"/>
        </w:rPr>
        <w:t xml:space="preserve"> No outdoor shoes inside; ensure visitors comply. </w:t>
      </w:r>
    </w:p>
    <w:p w14:paraId="74DFDC6E" w14:textId="2AF77E52" w:rsidR="00FD70EA" w:rsidRPr="00E263B9" w:rsidRDefault="00927D0C" w:rsidP="00FD70EA">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Yard Care:</w:t>
      </w:r>
      <w:r w:rsidRPr="00E263B9">
        <w:rPr>
          <w:rFonts w:ascii="Times New Roman" w:hAnsi="Times New Roman" w:cs="Times New Roman"/>
          <w:sz w:val="20"/>
          <w:szCs w:val="20"/>
        </w:rPr>
        <w:t xml:space="preserve"> Landlord provides yard care service unless it is outlined in the </w:t>
      </w:r>
      <w:r w:rsidR="00E561C4">
        <w:rPr>
          <w:rFonts w:ascii="Times New Roman" w:hAnsi="Times New Roman" w:cs="Times New Roman"/>
          <w:sz w:val="20"/>
          <w:szCs w:val="20"/>
        </w:rPr>
        <w:t>Rental Agreement or Addendum</w:t>
      </w:r>
      <w:r w:rsidRPr="00E263B9">
        <w:rPr>
          <w:rFonts w:ascii="Times New Roman" w:hAnsi="Times New Roman" w:cs="Times New Roman"/>
          <w:sz w:val="20"/>
          <w:szCs w:val="20"/>
        </w:rPr>
        <w:t xml:space="preserve"> as a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responsibility.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must obtain </w:t>
      </w:r>
      <w:r w:rsidR="0064225A" w:rsidRPr="00E263B9">
        <w:rPr>
          <w:rFonts w:ascii="Times New Roman" w:hAnsi="Times New Roman" w:cs="Times New Roman"/>
          <w:sz w:val="20"/>
          <w:szCs w:val="20"/>
        </w:rPr>
        <w:t>Property Manager</w:t>
      </w:r>
      <w:r w:rsidRPr="00E263B9">
        <w:rPr>
          <w:rFonts w:ascii="Times New Roman" w:hAnsi="Times New Roman" w:cs="Times New Roman"/>
          <w:sz w:val="20"/>
          <w:szCs w:val="20"/>
        </w:rPr>
        <w:t xml:space="preserve"> approval for planting or alterations and is responsible for maintaining and returning the yard to its original condition at move-out, unless otherwise approved. </w:t>
      </w:r>
    </w:p>
    <w:p w14:paraId="61F1E2DC" w14:textId="23B1F9C1" w:rsidR="00E561C4" w:rsidRPr="00E561C4" w:rsidRDefault="00FD70EA" w:rsidP="00E561C4">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Furnishings:</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shall not discard, junk, or remove any furnishings provided by the Landlord without prior written approval.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is responsible for all damages to furnishings beyond normal wear and tear, including repair or replacement costs, to be deducted from the security deposit or billed separately.</w:t>
      </w:r>
    </w:p>
    <w:p w14:paraId="06E9178C" w14:textId="38F1D69B" w:rsidR="00B074F5" w:rsidRPr="00E561C4" w:rsidRDefault="00927D0C" w:rsidP="00E561C4">
      <w:pPr>
        <w:pStyle w:val="ListParagraph"/>
        <w:numPr>
          <w:ilvl w:val="1"/>
          <w:numId w:val="34"/>
        </w:numPr>
        <w:rPr>
          <w:rFonts w:ascii="Times New Roman" w:hAnsi="Times New Roman" w:cs="Times New Roman"/>
          <w:sz w:val="20"/>
          <w:szCs w:val="20"/>
          <w:u w:val="single"/>
        </w:rPr>
      </w:pPr>
      <w:r w:rsidRPr="00E561C4">
        <w:rPr>
          <w:rFonts w:ascii="Times New Roman" w:hAnsi="Times New Roman" w:cs="Times New Roman"/>
          <w:b/>
          <w:bCs/>
          <w:sz w:val="20"/>
          <w:szCs w:val="20"/>
        </w:rPr>
        <w:t>Routine Maintenance:</w:t>
      </w:r>
      <w:r w:rsidRPr="00E561C4">
        <w:rPr>
          <w:rFonts w:ascii="Times New Roman" w:hAnsi="Times New Roman" w:cs="Times New Roman"/>
          <w:sz w:val="20"/>
          <w:szCs w:val="20"/>
        </w:rPr>
        <w:t xml:space="preserve"> </w:t>
      </w:r>
      <w:r w:rsidR="00B802CC">
        <w:rPr>
          <w:rFonts w:ascii="Times New Roman" w:hAnsi="Times New Roman" w:cs="Times New Roman"/>
          <w:sz w:val="20"/>
          <w:szCs w:val="20"/>
        </w:rPr>
        <w:t>Tenant</w:t>
      </w:r>
      <w:r w:rsidR="00B074F5" w:rsidRPr="00E561C4">
        <w:rPr>
          <w:rFonts w:ascii="Times New Roman" w:hAnsi="Times New Roman" w:cs="Times New Roman"/>
          <w:sz w:val="20"/>
          <w:szCs w:val="20"/>
        </w:rPr>
        <w:t xml:space="preserve">s are responsible for replacing light bulbs, replacing or cleaning A/C filters every 3 months, testing smoke/carbon monoxide detectors monthly and replacing batteries, keeping dryer vents clean, clearing minor drain clogs, replacing thermostat/key fob/garage opener batteries annually or as needed, cleaning dishwasher filters monthly, cleaning range hood filters quarterly, wiping ceiling fans/vents monthly, replacing appliance remote batteries as needed, and reporting any issues promptly. Failure to perform these tasks may result in charges deducted from the security deposit. </w:t>
      </w:r>
      <w:r w:rsidR="00B802CC">
        <w:rPr>
          <w:rFonts w:ascii="Times New Roman" w:hAnsi="Times New Roman" w:cs="Times New Roman"/>
          <w:sz w:val="20"/>
          <w:szCs w:val="20"/>
        </w:rPr>
        <w:t>Tenant</w:t>
      </w:r>
      <w:r w:rsidR="00B074F5" w:rsidRPr="00E561C4">
        <w:rPr>
          <w:rFonts w:ascii="Times New Roman" w:hAnsi="Times New Roman" w:cs="Times New Roman"/>
          <w:sz w:val="20"/>
          <w:szCs w:val="20"/>
        </w:rPr>
        <w:t xml:space="preserve"> must provide proof of A/C filter changes upon request.</w:t>
      </w:r>
    </w:p>
    <w:p w14:paraId="6979920F" w14:textId="77777777" w:rsidR="00B074F5" w:rsidRDefault="00B074F5" w:rsidP="00B074F5">
      <w:pPr>
        <w:pStyle w:val="ListParagraph"/>
        <w:ind w:left="1440"/>
        <w:rPr>
          <w:rFonts w:ascii="Times New Roman" w:hAnsi="Times New Roman" w:cs="Times New Roman"/>
          <w:sz w:val="20"/>
          <w:szCs w:val="20"/>
        </w:rPr>
      </w:pPr>
    </w:p>
    <w:p w14:paraId="0463396E" w14:textId="77777777" w:rsidR="009156EB" w:rsidRDefault="009156EB" w:rsidP="00B074F5">
      <w:pPr>
        <w:pStyle w:val="ListParagraph"/>
        <w:ind w:left="1440"/>
        <w:rPr>
          <w:rFonts w:ascii="Times New Roman" w:hAnsi="Times New Roman" w:cs="Times New Roman"/>
          <w:sz w:val="20"/>
          <w:szCs w:val="20"/>
        </w:rPr>
      </w:pPr>
    </w:p>
    <w:p w14:paraId="02D11852" w14:textId="77777777" w:rsidR="009156EB" w:rsidRPr="00B074F5" w:rsidRDefault="009156EB" w:rsidP="00B074F5">
      <w:pPr>
        <w:pStyle w:val="ListParagraph"/>
        <w:ind w:left="1440"/>
        <w:rPr>
          <w:rFonts w:ascii="Times New Roman" w:hAnsi="Times New Roman" w:cs="Times New Roman"/>
          <w:sz w:val="20"/>
          <w:szCs w:val="20"/>
        </w:rPr>
      </w:pPr>
    </w:p>
    <w:p w14:paraId="37C75023" w14:textId="66EC2176" w:rsidR="00927D0C" w:rsidRPr="00B074F5" w:rsidRDefault="00927D0C" w:rsidP="00DF3EEB">
      <w:pPr>
        <w:pStyle w:val="ListParagraph"/>
        <w:numPr>
          <w:ilvl w:val="0"/>
          <w:numId w:val="34"/>
        </w:numPr>
        <w:rPr>
          <w:rFonts w:ascii="Times New Roman" w:hAnsi="Times New Roman" w:cs="Times New Roman"/>
          <w:b/>
          <w:bCs/>
          <w:sz w:val="20"/>
          <w:szCs w:val="20"/>
          <w:u w:val="single"/>
        </w:rPr>
      </w:pPr>
      <w:r w:rsidRPr="00B074F5">
        <w:rPr>
          <w:rFonts w:ascii="Times New Roman" w:hAnsi="Times New Roman" w:cs="Times New Roman"/>
          <w:b/>
          <w:bCs/>
          <w:sz w:val="20"/>
          <w:szCs w:val="20"/>
          <w:u w:val="single"/>
        </w:rPr>
        <w:lastRenderedPageBreak/>
        <w:t xml:space="preserve">Alterations and Decorations </w:t>
      </w:r>
    </w:p>
    <w:p w14:paraId="22DB410D" w14:textId="32EC21E2"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No Changes:</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s may not make any alterations to the interior or exterior of the property, including but not limited to adding nails, screws, or hanging devices on walls, ceilings, or doors; placing holes or nails in the walls; removing or junking furnishings; or altering the landscaping, without prior written approval from the Property Manager.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is responsible for all repair and repainting costs (no spot painting; must paint the whole wall). Existing holes are noted in the Move-in Inspection. </w:t>
      </w:r>
    </w:p>
    <w:p w14:paraId="224C5867" w14:textId="3B115B80" w:rsidR="00927D0C" w:rsidRPr="00605AEA"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No Installations:</w:t>
      </w:r>
      <w:r w:rsidRPr="00E263B9">
        <w:rPr>
          <w:rFonts w:ascii="Times New Roman" w:hAnsi="Times New Roman" w:cs="Times New Roman"/>
          <w:sz w:val="20"/>
          <w:szCs w:val="20"/>
        </w:rPr>
        <w:t xml:space="preserve"> No wires, cables, or aerials without </w:t>
      </w:r>
      <w:r w:rsidR="00E561C4">
        <w:rPr>
          <w:rFonts w:ascii="Times New Roman" w:hAnsi="Times New Roman" w:cs="Times New Roman"/>
          <w:sz w:val="20"/>
          <w:szCs w:val="20"/>
        </w:rPr>
        <w:t>Property Manager</w:t>
      </w:r>
      <w:r w:rsidRPr="00E263B9">
        <w:rPr>
          <w:rFonts w:ascii="Times New Roman" w:hAnsi="Times New Roman" w:cs="Times New Roman"/>
          <w:sz w:val="20"/>
          <w:szCs w:val="20"/>
        </w:rPr>
        <w:t xml:space="preserve"> consent. No installation of smart devices, security cameras, or EV chargers without written approval and proof of professional installation.</w:t>
      </w:r>
    </w:p>
    <w:p w14:paraId="0C01A53C" w14:textId="77777777" w:rsidR="00605AEA" w:rsidRPr="00E263B9" w:rsidRDefault="00605AEA" w:rsidP="00605AEA">
      <w:pPr>
        <w:pStyle w:val="ListParagraph"/>
        <w:ind w:left="1440"/>
        <w:rPr>
          <w:rFonts w:ascii="Times New Roman" w:hAnsi="Times New Roman" w:cs="Times New Roman"/>
          <w:sz w:val="20"/>
          <w:szCs w:val="20"/>
          <w:u w:val="single"/>
        </w:rPr>
      </w:pPr>
    </w:p>
    <w:p w14:paraId="58F30029" w14:textId="77777777" w:rsidR="00927D0C" w:rsidRPr="00E263B9" w:rsidRDefault="00927D0C" w:rsidP="00927D0C">
      <w:pPr>
        <w:pStyle w:val="ListParagraph"/>
        <w:numPr>
          <w:ilvl w:val="0"/>
          <w:numId w:val="34"/>
        </w:numPr>
        <w:rPr>
          <w:rFonts w:ascii="Times New Roman" w:hAnsi="Times New Roman" w:cs="Times New Roman"/>
          <w:b/>
          <w:bCs/>
          <w:sz w:val="20"/>
          <w:szCs w:val="20"/>
          <w:u w:val="single"/>
        </w:rPr>
      </w:pPr>
      <w:r w:rsidRPr="00E263B9">
        <w:rPr>
          <w:rFonts w:ascii="Times New Roman" w:hAnsi="Times New Roman" w:cs="Times New Roman"/>
          <w:b/>
          <w:bCs/>
          <w:sz w:val="20"/>
          <w:szCs w:val="20"/>
          <w:u w:val="single"/>
        </w:rPr>
        <w:t xml:space="preserve">Utilities and Services </w:t>
      </w:r>
    </w:p>
    <w:p w14:paraId="05CBA5A3" w14:textId="5716C13F"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Contact Information:</w:t>
      </w:r>
      <w:r w:rsidRPr="00E263B9">
        <w:rPr>
          <w:rFonts w:ascii="Times New Roman" w:hAnsi="Times New Roman" w:cs="Times New Roman"/>
          <w:sz w:val="20"/>
          <w:szCs w:val="20"/>
        </w:rPr>
        <w:t xml:space="preserve"> Maintain phone service; provide number within 5 business days of occupancy. Update </w:t>
      </w:r>
      <w:r w:rsidR="00E561C4">
        <w:rPr>
          <w:rFonts w:ascii="Times New Roman" w:hAnsi="Times New Roman" w:cs="Times New Roman"/>
          <w:sz w:val="20"/>
          <w:szCs w:val="20"/>
        </w:rPr>
        <w:t>Property Manager</w:t>
      </w:r>
      <w:r w:rsidRPr="00E263B9">
        <w:rPr>
          <w:rFonts w:ascii="Times New Roman" w:hAnsi="Times New Roman" w:cs="Times New Roman"/>
          <w:sz w:val="20"/>
          <w:szCs w:val="20"/>
        </w:rPr>
        <w:t xml:space="preserve"> on phone immediately.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must also provide emergency contact information for at least one local (on-island) person. </w:t>
      </w:r>
    </w:p>
    <w:p w14:paraId="15FF6B01" w14:textId="6CDD44A5"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Water Usage:</w:t>
      </w:r>
      <w:r w:rsidRPr="00E263B9">
        <w:rPr>
          <w:rFonts w:ascii="Times New Roman" w:hAnsi="Times New Roman" w:cs="Times New Roman"/>
          <w:sz w:val="20"/>
          <w:szCs w:val="20"/>
        </w:rPr>
        <w:t xml:space="preserve"> </w:t>
      </w:r>
      <w:r w:rsidR="00E34FF2">
        <w:rPr>
          <w:rFonts w:ascii="Times New Roman" w:hAnsi="Times New Roman" w:cs="Times New Roman"/>
          <w:sz w:val="20"/>
          <w:szCs w:val="20"/>
        </w:rPr>
        <w:t xml:space="preserve">In the event where water utility is paid for by </w:t>
      </w:r>
      <w:r w:rsidR="00850E68">
        <w:rPr>
          <w:rFonts w:ascii="Times New Roman" w:hAnsi="Times New Roman" w:cs="Times New Roman"/>
          <w:sz w:val="20"/>
          <w:szCs w:val="20"/>
        </w:rPr>
        <w:t>Landlord</w:t>
      </w:r>
      <w:r w:rsidR="00E34FF2">
        <w:rPr>
          <w:rFonts w:ascii="Times New Roman" w:hAnsi="Times New Roman" w:cs="Times New Roman"/>
          <w:sz w:val="20"/>
          <w:szCs w:val="20"/>
        </w:rPr>
        <w:t xml:space="preserve"> and there is</w:t>
      </w:r>
      <w:r w:rsidRPr="00E263B9">
        <w:rPr>
          <w:rFonts w:ascii="Times New Roman" w:hAnsi="Times New Roman" w:cs="Times New Roman"/>
          <w:sz w:val="20"/>
          <w:szCs w:val="20"/>
        </w:rPr>
        <w:t xml:space="preserve"> unreasonable running water;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liable for excess costs over property’s </w:t>
      </w:r>
      <w:r w:rsidR="0064225A" w:rsidRPr="00E263B9">
        <w:rPr>
          <w:rFonts w:ascii="Times New Roman" w:hAnsi="Times New Roman" w:cs="Times New Roman"/>
          <w:sz w:val="20"/>
          <w:szCs w:val="20"/>
        </w:rPr>
        <w:t xml:space="preserve">prior </w:t>
      </w:r>
      <w:r w:rsidRPr="00E263B9">
        <w:rPr>
          <w:rFonts w:ascii="Times New Roman" w:hAnsi="Times New Roman" w:cs="Times New Roman"/>
          <w:sz w:val="20"/>
          <w:szCs w:val="20"/>
        </w:rPr>
        <w:t>historical usage</w:t>
      </w:r>
      <w:r w:rsidR="0064225A" w:rsidRPr="00E263B9">
        <w:rPr>
          <w:rFonts w:ascii="Times New Roman" w:hAnsi="Times New Roman" w:cs="Times New Roman"/>
          <w:sz w:val="20"/>
          <w:szCs w:val="20"/>
        </w:rPr>
        <w:t xml:space="preserve"> or agreed upon amount as outlined in Rental Agreement</w:t>
      </w:r>
      <w:r w:rsidR="00B074F5">
        <w:rPr>
          <w:rFonts w:ascii="Times New Roman" w:hAnsi="Times New Roman" w:cs="Times New Roman"/>
          <w:sz w:val="20"/>
          <w:szCs w:val="20"/>
        </w:rPr>
        <w:t xml:space="preserve"> and/or this Addendum</w:t>
      </w:r>
      <w:r w:rsidR="0064225A" w:rsidRPr="00E263B9">
        <w:rPr>
          <w:rFonts w:ascii="Times New Roman" w:hAnsi="Times New Roman" w:cs="Times New Roman"/>
          <w:sz w:val="20"/>
          <w:szCs w:val="20"/>
        </w:rPr>
        <w:t>.</w:t>
      </w:r>
      <w:r w:rsidRPr="00E263B9">
        <w:rPr>
          <w:rFonts w:ascii="Times New Roman" w:hAnsi="Times New Roman" w:cs="Times New Roman"/>
          <w:sz w:val="20"/>
          <w:szCs w:val="20"/>
        </w:rPr>
        <w:t xml:space="preserve"> </w:t>
      </w:r>
    </w:p>
    <w:p w14:paraId="4C146A79" w14:textId="2226350E"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Utility Responsibilities:</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is responsible for arranging and paying for utilities</w:t>
      </w:r>
      <w:r w:rsidR="0064225A" w:rsidRPr="00E263B9">
        <w:rPr>
          <w:rFonts w:ascii="Times New Roman" w:hAnsi="Times New Roman" w:cs="Times New Roman"/>
          <w:sz w:val="20"/>
          <w:szCs w:val="20"/>
        </w:rPr>
        <w:t xml:space="preserve"> they are responsible for</w:t>
      </w:r>
      <w:r w:rsidRPr="00E263B9">
        <w:rPr>
          <w:rFonts w:ascii="Times New Roman" w:hAnsi="Times New Roman" w:cs="Times New Roman"/>
          <w:sz w:val="20"/>
          <w:szCs w:val="20"/>
        </w:rPr>
        <w:t xml:space="preserve"> (e.g., electricity, water, internet). Landlord</w:t>
      </w:r>
      <w:r w:rsidR="00850E68">
        <w:rPr>
          <w:rFonts w:ascii="Times New Roman" w:hAnsi="Times New Roman" w:cs="Times New Roman"/>
          <w:sz w:val="20"/>
          <w:szCs w:val="20"/>
        </w:rPr>
        <w:t xml:space="preserve"> or Property Manager is</w:t>
      </w:r>
      <w:r w:rsidRPr="00E263B9">
        <w:rPr>
          <w:rFonts w:ascii="Times New Roman" w:hAnsi="Times New Roman" w:cs="Times New Roman"/>
          <w:sz w:val="20"/>
          <w:szCs w:val="20"/>
        </w:rPr>
        <w:t xml:space="preserve"> not liable for interruptions beyond control. </w:t>
      </w:r>
    </w:p>
    <w:p w14:paraId="6AB764B7" w14:textId="4201191E" w:rsidR="00927D0C" w:rsidRPr="00605AEA"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Services Not Provided:</w:t>
      </w:r>
      <w:r w:rsidRPr="00E263B9">
        <w:rPr>
          <w:rFonts w:ascii="Times New Roman" w:hAnsi="Times New Roman" w:cs="Times New Roman"/>
          <w:sz w:val="20"/>
          <w:szCs w:val="20"/>
        </w:rPr>
        <w:t xml:space="preserve"> If any utility or service (e.g.</w:t>
      </w:r>
      <w:r w:rsidR="00850E68">
        <w:rPr>
          <w:rFonts w:ascii="Times New Roman" w:hAnsi="Times New Roman" w:cs="Times New Roman"/>
          <w:sz w:val="20"/>
          <w:szCs w:val="20"/>
        </w:rPr>
        <w:t xml:space="preserve"> </w:t>
      </w:r>
      <w:r w:rsidRPr="00E263B9">
        <w:rPr>
          <w:rFonts w:ascii="Times New Roman" w:hAnsi="Times New Roman" w:cs="Times New Roman"/>
          <w:sz w:val="20"/>
          <w:szCs w:val="20"/>
        </w:rPr>
        <w:t>alarm service, cable, telephone, pest control) is not present, installed, or provided at the time of move-in, Landlord</w:t>
      </w:r>
      <w:r w:rsidR="00850E68">
        <w:rPr>
          <w:rFonts w:ascii="Times New Roman" w:hAnsi="Times New Roman" w:cs="Times New Roman"/>
          <w:sz w:val="20"/>
          <w:szCs w:val="20"/>
        </w:rPr>
        <w:t xml:space="preserve"> or Property Manager</w:t>
      </w:r>
      <w:r w:rsidRPr="00E263B9">
        <w:rPr>
          <w:rFonts w:ascii="Times New Roman" w:hAnsi="Times New Roman" w:cs="Times New Roman"/>
          <w:sz w:val="20"/>
          <w:szCs w:val="20"/>
        </w:rPr>
        <w:t xml:space="preserve"> is not obligated to install, provide, or maintain such service. Neither party shall be responsible for non-existent services unless otherwise agreed in writing.</w:t>
      </w:r>
    </w:p>
    <w:p w14:paraId="6BE98B9D" w14:textId="77777777" w:rsidR="00605AEA" w:rsidRPr="00E263B9" w:rsidRDefault="00605AEA" w:rsidP="00605AEA">
      <w:pPr>
        <w:pStyle w:val="ListParagraph"/>
        <w:ind w:left="1440"/>
        <w:rPr>
          <w:rFonts w:ascii="Times New Roman" w:hAnsi="Times New Roman" w:cs="Times New Roman"/>
          <w:sz w:val="20"/>
          <w:szCs w:val="20"/>
          <w:u w:val="single"/>
        </w:rPr>
      </w:pPr>
    </w:p>
    <w:p w14:paraId="5339F31F" w14:textId="77777777" w:rsidR="00927D0C" w:rsidRPr="00E263B9" w:rsidRDefault="00927D0C" w:rsidP="00927D0C">
      <w:pPr>
        <w:pStyle w:val="ListParagraph"/>
        <w:numPr>
          <w:ilvl w:val="0"/>
          <w:numId w:val="34"/>
        </w:numPr>
        <w:rPr>
          <w:rFonts w:ascii="Times New Roman" w:hAnsi="Times New Roman" w:cs="Times New Roman"/>
          <w:b/>
          <w:bCs/>
          <w:sz w:val="20"/>
          <w:szCs w:val="20"/>
          <w:u w:val="single"/>
        </w:rPr>
      </w:pPr>
      <w:r w:rsidRPr="00E263B9">
        <w:rPr>
          <w:rFonts w:ascii="Times New Roman" w:hAnsi="Times New Roman" w:cs="Times New Roman"/>
          <w:b/>
          <w:bCs/>
          <w:sz w:val="20"/>
          <w:szCs w:val="20"/>
          <w:u w:val="single"/>
        </w:rPr>
        <w:t xml:space="preserve">Parking and Vehicles </w:t>
      </w:r>
    </w:p>
    <w:p w14:paraId="0DE64DB3" w14:textId="66FCC280"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Restrictions:</w:t>
      </w:r>
      <w:r w:rsidRPr="00E263B9">
        <w:rPr>
          <w:rFonts w:ascii="Times New Roman" w:hAnsi="Times New Roman" w:cs="Times New Roman"/>
          <w:sz w:val="20"/>
          <w:szCs w:val="20"/>
        </w:rPr>
        <w:t xml:space="preserve"> Only vehicles of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s, registered occupants, or guests may park on the property; no parking on grass or in non-assigned spots. Unauthorized vehicles will be towed at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’s expense. No abandoned, disassembled vehicles or parts; towing at </w:t>
      </w:r>
      <w:r w:rsidR="00B802CC">
        <w:rPr>
          <w:rFonts w:ascii="Times New Roman" w:hAnsi="Times New Roman" w:cs="Times New Roman"/>
          <w:sz w:val="20"/>
          <w:szCs w:val="20"/>
        </w:rPr>
        <w:t>Tenant</w:t>
      </w:r>
      <w:r w:rsidRPr="00E263B9">
        <w:rPr>
          <w:rFonts w:ascii="Times New Roman" w:hAnsi="Times New Roman" w:cs="Times New Roman"/>
          <w:sz w:val="20"/>
          <w:szCs w:val="20"/>
        </w:rPr>
        <w:t>’s expense. No major automotive work (only minor repairs allowed</w:t>
      </w:r>
      <w:proofErr w:type="gramStart"/>
      <w:r w:rsidRPr="00E263B9">
        <w:rPr>
          <w:rFonts w:ascii="Times New Roman" w:hAnsi="Times New Roman" w:cs="Times New Roman"/>
          <w:sz w:val="20"/>
          <w:szCs w:val="20"/>
        </w:rPr>
        <w:t>);</w:t>
      </w:r>
      <w:proofErr w:type="gramEnd"/>
      <w:r w:rsidRPr="00E263B9">
        <w:rPr>
          <w:rFonts w:ascii="Times New Roman" w:hAnsi="Times New Roman" w:cs="Times New Roman"/>
          <w:sz w:val="20"/>
          <w:szCs w:val="20"/>
        </w:rPr>
        <w:t xml:space="preserve"> no hazardous waste dumping. </w:t>
      </w:r>
    </w:p>
    <w:p w14:paraId="6893B94E" w14:textId="6DE2C688" w:rsidR="00927D0C" w:rsidRPr="00605AEA"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Stains:</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must remove grease/oil stains from </w:t>
      </w:r>
      <w:r w:rsidR="00E34FF2">
        <w:rPr>
          <w:rFonts w:ascii="Times New Roman" w:hAnsi="Times New Roman" w:cs="Times New Roman"/>
          <w:sz w:val="20"/>
          <w:szCs w:val="20"/>
        </w:rPr>
        <w:t>property</w:t>
      </w:r>
      <w:r w:rsidR="00A0105E">
        <w:rPr>
          <w:rFonts w:ascii="Times New Roman" w:hAnsi="Times New Roman" w:cs="Times New Roman"/>
          <w:sz w:val="20"/>
          <w:szCs w:val="20"/>
        </w:rPr>
        <w:t xml:space="preserve"> (</w:t>
      </w:r>
      <w:proofErr w:type="spellStart"/>
      <w:r w:rsidR="00850E68">
        <w:rPr>
          <w:rFonts w:ascii="Times New Roman" w:hAnsi="Times New Roman" w:cs="Times New Roman"/>
          <w:sz w:val="20"/>
          <w:szCs w:val="20"/>
        </w:rPr>
        <w:t>eg.</w:t>
      </w:r>
      <w:proofErr w:type="spellEnd"/>
      <w:r w:rsidR="00A0105E">
        <w:rPr>
          <w:rFonts w:ascii="Times New Roman" w:hAnsi="Times New Roman" w:cs="Times New Roman"/>
          <w:sz w:val="20"/>
          <w:szCs w:val="20"/>
        </w:rPr>
        <w:t xml:space="preserve"> garage, driveway, etc.)</w:t>
      </w:r>
      <w:r w:rsidRPr="00E263B9">
        <w:rPr>
          <w:rFonts w:ascii="Times New Roman" w:hAnsi="Times New Roman" w:cs="Times New Roman"/>
          <w:sz w:val="20"/>
          <w:szCs w:val="20"/>
        </w:rPr>
        <w:t xml:space="preserve"> using environmentally safe methods; failure results in deduction from deposit.</w:t>
      </w:r>
    </w:p>
    <w:p w14:paraId="3B7C8546" w14:textId="77777777" w:rsidR="00605AEA" w:rsidRPr="00E263B9" w:rsidRDefault="00605AEA" w:rsidP="00605AEA">
      <w:pPr>
        <w:pStyle w:val="ListParagraph"/>
        <w:ind w:left="1440"/>
        <w:rPr>
          <w:rFonts w:ascii="Times New Roman" w:hAnsi="Times New Roman" w:cs="Times New Roman"/>
          <w:sz w:val="20"/>
          <w:szCs w:val="20"/>
          <w:u w:val="single"/>
        </w:rPr>
      </w:pPr>
    </w:p>
    <w:p w14:paraId="516E4161" w14:textId="77777777" w:rsidR="00927D0C" w:rsidRPr="00E263B9" w:rsidRDefault="00927D0C" w:rsidP="00927D0C">
      <w:pPr>
        <w:pStyle w:val="ListParagraph"/>
        <w:numPr>
          <w:ilvl w:val="0"/>
          <w:numId w:val="34"/>
        </w:numPr>
        <w:rPr>
          <w:rFonts w:ascii="Times New Roman" w:hAnsi="Times New Roman" w:cs="Times New Roman"/>
          <w:b/>
          <w:bCs/>
          <w:sz w:val="20"/>
          <w:szCs w:val="20"/>
          <w:u w:val="single"/>
        </w:rPr>
      </w:pPr>
      <w:r w:rsidRPr="00E263B9">
        <w:rPr>
          <w:rFonts w:ascii="Times New Roman" w:hAnsi="Times New Roman" w:cs="Times New Roman"/>
          <w:b/>
          <w:bCs/>
          <w:sz w:val="20"/>
          <w:szCs w:val="20"/>
          <w:u w:val="single"/>
        </w:rPr>
        <w:t xml:space="preserve">Safety and Security </w:t>
      </w:r>
    </w:p>
    <w:p w14:paraId="2D6E5719" w14:textId="77777777"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Hazardous Materials:</w:t>
      </w:r>
      <w:r w:rsidRPr="00E263B9">
        <w:rPr>
          <w:rFonts w:ascii="Times New Roman" w:hAnsi="Times New Roman" w:cs="Times New Roman"/>
          <w:sz w:val="20"/>
          <w:szCs w:val="20"/>
        </w:rPr>
        <w:t xml:space="preserve"> No machinery, extra appliances, flammable fluids, or burning without consent. </w:t>
      </w:r>
    </w:p>
    <w:p w14:paraId="50A69C85" w14:textId="566A767D"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Illegal Activities:</w:t>
      </w:r>
      <w:r w:rsidRPr="00E263B9">
        <w:rPr>
          <w:rFonts w:ascii="Times New Roman" w:hAnsi="Times New Roman" w:cs="Times New Roman"/>
          <w:sz w:val="20"/>
          <w:szCs w:val="20"/>
        </w:rPr>
        <w:t xml:space="preserve"> No illegal activities by </w:t>
      </w:r>
      <w:r w:rsidR="00B802CC">
        <w:rPr>
          <w:rFonts w:ascii="Times New Roman" w:hAnsi="Times New Roman" w:cs="Times New Roman"/>
          <w:sz w:val="20"/>
          <w:szCs w:val="20"/>
        </w:rPr>
        <w:t>Tenant</w:t>
      </w:r>
      <w:r w:rsidRPr="00E263B9">
        <w:rPr>
          <w:rFonts w:ascii="Times New Roman" w:hAnsi="Times New Roman" w:cs="Times New Roman"/>
          <w:sz w:val="20"/>
          <w:szCs w:val="20"/>
        </w:rPr>
        <w:t>s or guests; grounds for immediate termination.</w:t>
      </w:r>
    </w:p>
    <w:p w14:paraId="0CCEC748" w14:textId="2464B8C6" w:rsidR="00927D0C" w:rsidRPr="00605AEA"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Emergency Procedures:</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must comply with all fire, hurricane, and evacuation protocols. </w:t>
      </w:r>
      <w:r w:rsidR="00850E68">
        <w:rPr>
          <w:rFonts w:ascii="Times New Roman" w:hAnsi="Times New Roman" w:cs="Times New Roman"/>
          <w:sz w:val="20"/>
          <w:szCs w:val="20"/>
        </w:rPr>
        <w:t>Property Manager or Landlord</w:t>
      </w:r>
      <w:r w:rsidRPr="00E263B9">
        <w:rPr>
          <w:rFonts w:ascii="Times New Roman" w:hAnsi="Times New Roman" w:cs="Times New Roman"/>
          <w:sz w:val="20"/>
          <w:szCs w:val="20"/>
        </w:rPr>
        <w:t xml:space="preserve"> may enter without notice in emergencies threatening life or property.</w:t>
      </w:r>
    </w:p>
    <w:p w14:paraId="46CA783D" w14:textId="77777777" w:rsidR="00605AEA" w:rsidRPr="00E263B9" w:rsidRDefault="00605AEA" w:rsidP="00605AEA">
      <w:pPr>
        <w:pStyle w:val="ListParagraph"/>
        <w:ind w:left="1440"/>
        <w:rPr>
          <w:rFonts w:ascii="Times New Roman" w:hAnsi="Times New Roman" w:cs="Times New Roman"/>
          <w:sz w:val="20"/>
          <w:szCs w:val="20"/>
          <w:u w:val="single"/>
        </w:rPr>
      </w:pPr>
    </w:p>
    <w:p w14:paraId="3D3F6358" w14:textId="77777777" w:rsidR="00927D0C" w:rsidRPr="00E263B9" w:rsidRDefault="00927D0C" w:rsidP="00927D0C">
      <w:pPr>
        <w:pStyle w:val="ListParagraph"/>
        <w:numPr>
          <w:ilvl w:val="0"/>
          <w:numId w:val="34"/>
        </w:numPr>
        <w:rPr>
          <w:rFonts w:ascii="Times New Roman" w:hAnsi="Times New Roman" w:cs="Times New Roman"/>
          <w:b/>
          <w:bCs/>
          <w:sz w:val="20"/>
          <w:szCs w:val="20"/>
          <w:u w:val="single"/>
        </w:rPr>
      </w:pPr>
      <w:r w:rsidRPr="00E263B9">
        <w:rPr>
          <w:rFonts w:ascii="Times New Roman" w:hAnsi="Times New Roman" w:cs="Times New Roman"/>
          <w:b/>
          <w:bCs/>
          <w:sz w:val="20"/>
          <w:szCs w:val="20"/>
          <w:u w:val="single"/>
        </w:rPr>
        <w:t xml:space="preserve">Inspections and Access </w:t>
      </w:r>
    </w:p>
    <w:p w14:paraId="1ED72828" w14:textId="7EE59024" w:rsidR="00927D0C" w:rsidRPr="00605AEA"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Inspections:</w:t>
      </w:r>
      <w:r w:rsidRPr="00E263B9">
        <w:rPr>
          <w:rFonts w:ascii="Times New Roman" w:hAnsi="Times New Roman" w:cs="Times New Roman"/>
          <w:sz w:val="20"/>
          <w:szCs w:val="20"/>
        </w:rPr>
        <w:t xml:space="preserve"> Periodic inspections can occur anytime with 48 hours’ notice. Initial inspection 1-2 months after move-in; every </w:t>
      </w:r>
      <w:r w:rsidR="00E40470">
        <w:rPr>
          <w:rFonts w:ascii="Times New Roman" w:hAnsi="Times New Roman" w:cs="Times New Roman"/>
          <w:sz w:val="20"/>
          <w:szCs w:val="20"/>
        </w:rPr>
        <w:t>July and January</w:t>
      </w:r>
      <w:r w:rsidRPr="00E263B9">
        <w:rPr>
          <w:rFonts w:ascii="Times New Roman" w:hAnsi="Times New Roman" w:cs="Times New Roman"/>
          <w:sz w:val="20"/>
          <w:szCs w:val="20"/>
        </w:rPr>
        <w:t xml:space="preserve"> thereafter. Non-maintenance is a breach of contract.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must cooperate fully; refusal may result in termination. </w:t>
      </w:r>
    </w:p>
    <w:p w14:paraId="4E904130" w14:textId="77777777" w:rsidR="00605AEA" w:rsidRPr="00E263B9" w:rsidRDefault="00605AEA" w:rsidP="00605AEA">
      <w:pPr>
        <w:pStyle w:val="ListParagraph"/>
        <w:ind w:left="1440"/>
        <w:rPr>
          <w:rFonts w:ascii="Times New Roman" w:hAnsi="Times New Roman" w:cs="Times New Roman"/>
          <w:sz w:val="20"/>
          <w:szCs w:val="20"/>
          <w:u w:val="single"/>
        </w:rPr>
      </w:pPr>
    </w:p>
    <w:p w14:paraId="6D3D2A23" w14:textId="77777777" w:rsidR="00927D0C" w:rsidRPr="00E263B9" w:rsidRDefault="00927D0C" w:rsidP="00927D0C">
      <w:pPr>
        <w:pStyle w:val="ListParagraph"/>
        <w:numPr>
          <w:ilvl w:val="0"/>
          <w:numId w:val="34"/>
        </w:numPr>
        <w:rPr>
          <w:rFonts w:ascii="Times New Roman" w:hAnsi="Times New Roman" w:cs="Times New Roman"/>
          <w:b/>
          <w:bCs/>
          <w:sz w:val="20"/>
          <w:szCs w:val="20"/>
          <w:u w:val="single"/>
        </w:rPr>
      </w:pPr>
      <w:r w:rsidRPr="00E263B9">
        <w:rPr>
          <w:rFonts w:ascii="Times New Roman" w:hAnsi="Times New Roman" w:cs="Times New Roman"/>
          <w:b/>
          <w:bCs/>
          <w:sz w:val="20"/>
          <w:szCs w:val="20"/>
          <w:u w:val="single"/>
        </w:rPr>
        <w:t>Association Rules</w:t>
      </w:r>
    </w:p>
    <w:p w14:paraId="20AB6068" w14:textId="2EE1D765" w:rsidR="00E40470" w:rsidRPr="00E40470" w:rsidRDefault="00927D0C" w:rsidP="00E40470">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Compliance:</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00E40470" w:rsidRPr="00E40470">
        <w:rPr>
          <w:rFonts w:ascii="Times New Roman" w:hAnsi="Times New Roman" w:cs="Times New Roman"/>
          <w:sz w:val="20"/>
          <w:szCs w:val="20"/>
        </w:rPr>
        <w:t xml:space="preserve"> must register pets, vehicles, self, or any other required items with the association if applicable, and follow all association rules. </w:t>
      </w:r>
      <w:r w:rsidR="00B802CC">
        <w:rPr>
          <w:rFonts w:ascii="Times New Roman" w:hAnsi="Times New Roman" w:cs="Times New Roman"/>
          <w:sz w:val="20"/>
          <w:szCs w:val="20"/>
        </w:rPr>
        <w:t>Tenant</w:t>
      </w:r>
      <w:r w:rsidR="00E40470" w:rsidRPr="00E40470">
        <w:rPr>
          <w:rFonts w:ascii="Times New Roman" w:hAnsi="Times New Roman" w:cs="Times New Roman"/>
          <w:sz w:val="20"/>
          <w:szCs w:val="20"/>
        </w:rPr>
        <w:t xml:space="preserve"> liable for fines (payable within 10 days or deducted from deposit). </w:t>
      </w:r>
      <w:r w:rsidR="00B802CC">
        <w:rPr>
          <w:rFonts w:ascii="Times New Roman" w:hAnsi="Times New Roman" w:cs="Times New Roman"/>
          <w:sz w:val="20"/>
          <w:szCs w:val="20"/>
        </w:rPr>
        <w:t>Tenant</w:t>
      </w:r>
      <w:r w:rsidR="00E40470" w:rsidRPr="00E40470">
        <w:rPr>
          <w:rFonts w:ascii="Times New Roman" w:hAnsi="Times New Roman" w:cs="Times New Roman"/>
          <w:sz w:val="20"/>
          <w:szCs w:val="20"/>
        </w:rPr>
        <w:t xml:space="preserve"> indemnifies Landlord and </w:t>
      </w:r>
      <w:r w:rsidR="00850E68">
        <w:rPr>
          <w:rFonts w:ascii="Times New Roman" w:hAnsi="Times New Roman" w:cs="Times New Roman"/>
          <w:sz w:val="20"/>
          <w:szCs w:val="20"/>
        </w:rPr>
        <w:t>Property Manager</w:t>
      </w:r>
      <w:r w:rsidR="00E40470" w:rsidRPr="00E40470">
        <w:rPr>
          <w:rFonts w:ascii="Times New Roman" w:hAnsi="Times New Roman" w:cs="Times New Roman"/>
          <w:sz w:val="20"/>
          <w:szCs w:val="20"/>
        </w:rPr>
        <w:t xml:space="preserve"> for any fines caused by </w:t>
      </w:r>
      <w:r w:rsidR="00B802CC">
        <w:rPr>
          <w:rFonts w:ascii="Times New Roman" w:hAnsi="Times New Roman" w:cs="Times New Roman"/>
          <w:sz w:val="20"/>
          <w:szCs w:val="20"/>
        </w:rPr>
        <w:t>Tenant</w:t>
      </w:r>
      <w:r w:rsidR="00E40470" w:rsidRPr="00E40470">
        <w:rPr>
          <w:rFonts w:ascii="Times New Roman" w:hAnsi="Times New Roman" w:cs="Times New Roman"/>
          <w:sz w:val="20"/>
          <w:szCs w:val="20"/>
        </w:rPr>
        <w:t xml:space="preserve"> violations.</w:t>
      </w:r>
    </w:p>
    <w:p w14:paraId="4A8A5136" w14:textId="77777777" w:rsidR="00E40470" w:rsidRPr="00E40470" w:rsidRDefault="00E40470" w:rsidP="00E40470">
      <w:pPr>
        <w:pStyle w:val="ListParagraph"/>
        <w:ind w:left="1440"/>
        <w:rPr>
          <w:rFonts w:ascii="Times New Roman" w:hAnsi="Times New Roman" w:cs="Times New Roman"/>
          <w:sz w:val="20"/>
          <w:szCs w:val="20"/>
          <w:u w:val="single"/>
        </w:rPr>
      </w:pPr>
    </w:p>
    <w:p w14:paraId="7C6E552B" w14:textId="77777777" w:rsidR="00927D0C" w:rsidRPr="00E263B9" w:rsidRDefault="00927D0C" w:rsidP="00927D0C">
      <w:pPr>
        <w:pStyle w:val="ListParagraph"/>
        <w:numPr>
          <w:ilvl w:val="0"/>
          <w:numId w:val="34"/>
        </w:numPr>
        <w:rPr>
          <w:rFonts w:ascii="Times New Roman" w:hAnsi="Times New Roman" w:cs="Times New Roman"/>
          <w:b/>
          <w:bCs/>
          <w:sz w:val="20"/>
          <w:szCs w:val="20"/>
          <w:u w:val="single"/>
        </w:rPr>
      </w:pPr>
      <w:r w:rsidRPr="00E263B9">
        <w:rPr>
          <w:rFonts w:ascii="Times New Roman" w:hAnsi="Times New Roman" w:cs="Times New Roman"/>
          <w:b/>
          <w:bCs/>
          <w:sz w:val="20"/>
          <w:szCs w:val="20"/>
          <w:u w:val="single"/>
        </w:rPr>
        <w:t>Termination and Move-Out</w:t>
      </w:r>
    </w:p>
    <w:p w14:paraId="6B538EF3" w14:textId="7618291D"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Property Sale:</w:t>
      </w:r>
      <w:r w:rsidRPr="00E263B9">
        <w:rPr>
          <w:rFonts w:ascii="Times New Roman" w:hAnsi="Times New Roman" w:cs="Times New Roman"/>
          <w:sz w:val="20"/>
          <w:szCs w:val="20"/>
        </w:rPr>
        <w:t xml:space="preserve"> Allow any number of showings (48 hours’ notice) and open houses at least twice monthly if for sale; </w:t>
      </w:r>
      <w:r w:rsidR="00B802CC">
        <w:rPr>
          <w:rFonts w:ascii="Times New Roman" w:hAnsi="Times New Roman" w:cs="Times New Roman"/>
          <w:sz w:val="20"/>
          <w:szCs w:val="20"/>
        </w:rPr>
        <w:t>Rental Agreement</w:t>
      </w:r>
      <w:r w:rsidRPr="00E263B9">
        <w:rPr>
          <w:rFonts w:ascii="Times New Roman" w:hAnsi="Times New Roman" w:cs="Times New Roman"/>
          <w:sz w:val="20"/>
          <w:szCs w:val="20"/>
        </w:rPr>
        <w:t xml:space="preserve"> transfers to new </w:t>
      </w:r>
      <w:r w:rsidR="00B802CC">
        <w:rPr>
          <w:rFonts w:ascii="Times New Roman" w:hAnsi="Times New Roman" w:cs="Times New Roman"/>
          <w:sz w:val="20"/>
          <w:szCs w:val="20"/>
        </w:rPr>
        <w:t>Landlord</w:t>
      </w:r>
      <w:r w:rsidRPr="00E263B9">
        <w:rPr>
          <w:rFonts w:ascii="Times New Roman" w:hAnsi="Times New Roman" w:cs="Times New Roman"/>
          <w:sz w:val="20"/>
          <w:szCs w:val="20"/>
        </w:rPr>
        <w:t xml:space="preserve">. </w:t>
      </w:r>
    </w:p>
    <w:p w14:paraId="20B2F811" w14:textId="205C85A9" w:rsidR="00927D0C" w:rsidRPr="00605AEA"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Move-Out Checklist:</w:t>
      </w:r>
      <w:r w:rsidRPr="00E263B9">
        <w:rPr>
          <w:rFonts w:ascii="Times New Roman" w:hAnsi="Times New Roman" w:cs="Times New Roman"/>
          <w:sz w:val="20"/>
          <w:szCs w:val="20"/>
        </w:rPr>
        <w:t xml:space="preserve"> Follow Vacating Instructions provided; professional services deducted from deposit if unmet.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must schedule final walkthrough with </w:t>
      </w:r>
      <w:r w:rsidR="009F24D9">
        <w:rPr>
          <w:rFonts w:ascii="Times New Roman" w:hAnsi="Times New Roman" w:cs="Times New Roman"/>
          <w:sz w:val="20"/>
          <w:szCs w:val="20"/>
        </w:rPr>
        <w:t>Property Manager</w:t>
      </w:r>
      <w:r w:rsidRPr="00E263B9">
        <w:rPr>
          <w:rFonts w:ascii="Times New Roman" w:hAnsi="Times New Roman" w:cs="Times New Roman"/>
          <w:sz w:val="20"/>
          <w:szCs w:val="20"/>
        </w:rPr>
        <w:t xml:space="preserve"> on or prior to last day of </w:t>
      </w:r>
      <w:r w:rsidR="00B802CC">
        <w:rPr>
          <w:rFonts w:ascii="Times New Roman" w:hAnsi="Times New Roman" w:cs="Times New Roman"/>
          <w:sz w:val="20"/>
          <w:szCs w:val="20"/>
        </w:rPr>
        <w:t>Rental Agreement</w:t>
      </w:r>
      <w:r w:rsidRPr="00E263B9">
        <w:rPr>
          <w:rFonts w:ascii="Times New Roman" w:hAnsi="Times New Roman" w:cs="Times New Roman"/>
          <w:sz w:val="20"/>
          <w:szCs w:val="20"/>
        </w:rPr>
        <w:t>.</w:t>
      </w:r>
    </w:p>
    <w:p w14:paraId="2B431887" w14:textId="77777777" w:rsidR="00605AEA" w:rsidRDefault="00605AEA" w:rsidP="00605AEA">
      <w:pPr>
        <w:pStyle w:val="ListParagraph"/>
        <w:ind w:left="1440"/>
        <w:rPr>
          <w:rFonts w:ascii="Times New Roman" w:hAnsi="Times New Roman" w:cs="Times New Roman"/>
          <w:sz w:val="20"/>
          <w:szCs w:val="20"/>
          <w:u w:val="single"/>
        </w:rPr>
      </w:pPr>
    </w:p>
    <w:p w14:paraId="271DF20D" w14:textId="77777777" w:rsidR="009156EB" w:rsidRDefault="009156EB" w:rsidP="00605AEA">
      <w:pPr>
        <w:pStyle w:val="ListParagraph"/>
        <w:ind w:left="1440"/>
        <w:rPr>
          <w:rFonts w:ascii="Times New Roman" w:hAnsi="Times New Roman" w:cs="Times New Roman"/>
          <w:sz w:val="20"/>
          <w:szCs w:val="20"/>
          <w:u w:val="single"/>
        </w:rPr>
      </w:pPr>
    </w:p>
    <w:p w14:paraId="7D545964" w14:textId="77777777" w:rsidR="009156EB" w:rsidRPr="00E263B9" w:rsidRDefault="009156EB" w:rsidP="00605AEA">
      <w:pPr>
        <w:pStyle w:val="ListParagraph"/>
        <w:ind w:left="1440"/>
        <w:rPr>
          <w:rFonts w:ascii="Times New Roman" w:hAnsi="Times New Roman" w:cs="Times New Roman"/>
          <w:sz w:val="20"/>
          <w:szCs w:val="20"/>
          <w:u w:val="single"/>
        </w:rPr>
      </w:pPr>
    </w:p>
    <w:p w14:paraId="5BA554B9" w14:textId="77777777" w:rsidR="00FD70EA" w:rsidRPr="00E263B9" w:rsidRDefault="00927D0C" w:rsidP="00FD70EA">
      <w:pPr>
        <w:pStyle w:val="ListParagraph"/>
        <w:numPr>
          <w:ilvl w:val="0"/>
          <w:numId w:val="34"/>
        </w:numPr>
        <w:rPr>
          <w:rFonts w:ascii="Times New Roman" w:hAnsi="Times New Roman" w:cs="Times New Roman"/>
          <w:b/>
          <w:bCs/>
          <w:sz w:val="20"/>
          <w:szCs w:val="20"/>
          <w:u w:val="single"/>
        </w:rPr>
      </w:pPr>
      <w:r w:rsidRPr="00E263B9">
        <w:rPr>
          <w:rFonts w:ascii="Times New Roman" w:hAnsi="Times New Roman" w:cs="Times New Roman"/>
          <w:b/>
          <w:bCs/>
          <w:sz w:val="20"/>
          <w:szCs w:val="20"/>
          <w:u w:val="single"/>
        </w:rPr>
        <w:t>Miscellaneous</w:t>
      </w:r>
    </w:p>
    <w:p w14:paraId="69139E58" w14:textId="77777777" w:rsidR="009156EB" w:rsidRDefault="00FD70EA" w:rsidP="009156EB">
      <w:pPr>
        <w:pStyle w:val="ListParagraph"/>
        <w:numPr>
          <w:ilvl w:val="1"/>
          <w:numId w:val="34"/>
        </w:numPr>
        <w:rPr>
          <w:rFonts w:ascii="Times New Roman" w:hAnsi="Times New Roman" w:cs="Times New Roman"/>
          <w:sz w:val="20"/>
          <w:szCs w:val="20"/>
        </w:rPr>
      </w:pPr>
      <w:r w:rsidRPr="00E263B9">
        <w:rPr>
          <w:rFonts w:ascii="Times New Roman" w:hAnsi="Times New Roman" w:cs="Times New Roman"/>
          <w:b/>
          <w:bCs/>
          <w:sz w:val="20"/>
          <w:szCs w:val="20"/>
        </w:rPr>
        <w:t xml:space="preserve">Fireworks: </w:t>
      </w:r>
      <w:r w:rsidRPr="00E263B9">
        <w:rPr>
          <w:rFonts w:ascii="Times New Roman" w:hAnsi="Times New Roman" w:cs="Times New Roman"/>
          <w:sz w:val="20"/>
          <w:szCs w:val="20"/>
        </w:rPr>
        <w:t>The use, storage, or discharge of fireworks on the property is strictly prohibite</w:t>
      </w:r>
      <w:r w:rsidR="00A77B35" w:rsidRPr="00E263B9">
        <w:rPr>
          <w:rFonts w:ascii="Times New Roman" w:hAnsi="Times New Roman" w:cs="Times New Roman"/>
          <w:sz w:val="20"/>
          <w:szCs w:val="20"/>
        </w:rPr>
        <w:t>d</w:t>
      </w:r>
      <w:r w:rsidRPr="00E263B9">
        <w:rPr>
          <w:rFonts w:ascii="Times New Roman" w:hAnsi="Times New Roman" w:cs="Times New Roman"/>
          <w:sz w:val="20"/>
          <w:szCs w:val="20"/>
        </w:rPr>
        <w:t>.</w:t>
      </w:r>
    </w:p>
    <w:p w14:paraId="31AAE8AC" w14:textId="5FBDBB90" w:rsidR="009156EB" w:rsidRPr="009156EB" w:rsidRDefault="009156EB" w:rsidP="009156EB">
      <w:pPr>
        <w:pStyle w:val="ListParagraph"/>
        <w:numPr>
          <w:ilvl w:val="1"/>
          <w:numId w:val="34"/>
        </w:numPr>
        <w:rPr>
          <w:rFonts w:ascii="Times New Roman" w:hAnsi="Times New Roman" w:cs="Times New Roman"/>
          <w:sz w:val="20"/>
          <w:szCs w:val="20"/>
        </w:rPr>
      </w:pPr>
      <w:r w:rsidRPr="009156EB">
        <w:rPr>
          <w:rFonts w:ascii="Times New Roman" w:hAnsi="Times New Roman" w:cs="Times New Roman"/>
          <w:b/>
          <w:bCs/>
          <w:sz w:val="20"/>
          <w:szCs w:val="20"/>
        </w:rPr>
        <w:t>Mold:</w:t>
      </w:r>
      <w:r w:rsidRPr="009156EB">
        <w:rPr>
          <w:rFonts w:ascii="Times New Roman" w:hAnsi="Times New Roman" w:cs="Times New Roman"/>
          <w:sz w:val="20"/>
          <w:szCs w:val="20"/>
        </w:rPr>
        <w:t xml:space="preserve"> </w:t>
      </w:r>
      <w:r w:rsidRPr="009156EB">
        <w:rPr>
          <w:rFonts w:ascii="Times New Roman" w:hAnsi="Times New Roman" w:cs="Times New Roman"/>
          <w:sz w:val="20"/>
          <w:szCs w:val="20"/>
        </w:rPr>
        <w:t xml:space="preserve">As this is a tropical island, there may or may not be an issue of mold within the property </w:t>
      </w:r>
      <w:r w:rsidR="00B802CC">
        <w:rPr>
          <w:rFonts w:ascii="Times New Roman" w:hAnsi="Times New Roman" w:cs="Times New Roman"/>
          <w:sz w:val="20"/>
          <w:szCs w:val="20"/>
        </w:rPr>
        <w:t>Tenant</w:t>
      </w:r>
      <w:r w:rsidRPr="009156EB">
        <w:rPr>
          <w:rFonts w:ascii="Times New Roman" w:hAnsi="Times New Roman" w:cs="Times New Roman"/>
          <w:sz w:val="20"/>
          <w:szCs w:val="20"/>
        </w:rPr>
        <w:t xml:space="preserve"> is renting. Landlord </w:t>
      </w:r>
      <w:r w:rsidR="00850E68">
        <w:rPr>
          <w:rFonts w:ascii="Times New Roman" w:hAnsi="Times New Roman" w:cs="Times New Roman"/>
          <w:sz w:val="20"/>
          <w:szCs w:val="20"/>
        </w:rPr>
        <w:t xml:space="preserve">and Property Manager </w:t>
      </w:r>
      <w:r w:rsidRPr="009156EB">
        <w:rPr>
          <w:rFonts w:ascii="Times New Roman" w:hAnsi="Times New Roman" w:cs="Times New Roman"/>
          <w:sz w:val="20"/>
          <w:szCs w:val="20"/>
        </w:rPr>
        <w:t xml:space="preserve">has no known knowledge of existing problem. However, should </w:t>
      </w:r>
      <w:r w:rsidR="00B802CC">
        <w:rPr>
          <w:rFonts w:ascii="Times New Roman" w:hAnsi="Times New Roman" w:cs="Times New Roman"/>
          <w:sz w:val="20"/>
          <w:szCs w:val="20"/>
        </w:rPr>
        <w:t>Tenant</w:t>
      </w:r>
      <w:r w:rsidRPr="009156EB">
        <w:rPr>
          <w:rFonts w:ascii="Times New Roman" w:hAnsi="Times New Roman" w:cs="Times New Roman"/>
          <w:sz w:val="20"/>
          <w:szCs w:val="20"/>
        </w:rPr>
        <w:t xml:space="preserve"> wish to conduct their own inspection through a certified inspector of their choice, it will be at </w:t>
      </w:r>
      <w:r w:rsidR="00B802CC">
        <w:rPr>
          <w:rFonts w:ascii="Times New Roman" w:hAnsi="Times New Roman" w:cs="Times New Roman"/>
          <w:sz w:val="20"/>
          <w:szCs w:val="20"/>
        </w:rPr>
        <w:t>Tenant</w:t>
      </w:r>
      <w:r w:rsidRPr="009156EB">
        <w:rPr>
          <w:rFonts w:ascii="Times New Roman" w:hAnsi="Times New Roman" w:cs="Times New Roman"/>
          <w:sz w:val="20"/>
          <w:szCs w:val="20"/>
        </w:rPr>
        <w:t>'s sole cost and expense.</w:t>
      </w:r>
    </w:p>
    <w:p w14:paraId="16AA00A0" w14:textId="3A0D8943"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Mailbox:</w:t>
      </w:r>
      <w:r w:rsidRPr="00E263B9">
        <w:rPr>
          <w:rFonts w:ascii="Times New Roman" w:hAnsi="Times New Roman" w:cs="Times New Roman"/>
          <w:sz w:val="20"/>
          <w:szCs w:val="20"/>
        </w:rPr>
        <w:t xml:space="preserve"> If no mailbox is provided at the property,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is responsible for obtaining and maintaining a P.O. Box at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's sole expense. If one mailbox serves multiple units,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s must share it </w:t>
      </w:r>
      <w:r w:rsidR="009156EB">
        <w:rPr>
          <w:rFonts w:ascii="Times New Roman" w:hAnsi="Times New Roman" w:cs="Times New Roman"/>
          <w:sz w:val="20"/>
          <w:szCs w:val="20"/>
        </w:rPr>
        <w:t>equally</w:t>
      </w:r>
      <w:r w:rsidRPr="00E263B9">
        <w:rPr>
          <w:rFonts w:ascii="Times New Roman" w:hAnsi="Times New Roman" w:cs="Times New Roman"/>
          <w:sz w:val="20"/>
          <w:szCs w:val="20"/>
        </w:rPr>
        <w:t xml:space="preserve"> and coordinate mail retrieval among themselves. </w:t>
      </w:r>
    </w:p>
    <w:p w14:paraId="516C2064" w14:textId="77777777"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Storage:</w:t>
      </w:r>
      <w:r w:rsidRPr="00E263B9">
        <w:rPr>
          <w:rFonts w:ascii="Times New Roman" w:hAnsi="Times New Roman" w:cs="Times New Roman"/>
          <w:sz w:val="20"/>
          <w:szCs w:val="20"/>
        </w:rPr>
        <w:t xml:space="preserve"> No exterior storage beyond closets without permission. </w:t>
      </w:r>
    </w:p>
    <w:p w14:paraId="096B5B0B" w14:textId="1F673964"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Insurance:</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must maintain renter's liability insurance of at least $100,000, naming Landlord and Property Manager as additional insureds. Proof required annually or upon request. </w:t>
      </w:r>
    </w:p>
    <w:p w14:paraId="777C3A99" w14:textId="77777777"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Attorney Fees:</w:t>
      </w:r>
      <w:r w:rsidRPr="00E263B9">
        <w:rPr>
          <w:rFonts w:ascii="Times New Roman" w:hAnsi="Times New Roman" w:cs="Times New Roman"/>
          <w:sz w:val="20"/>
          <w:szCs w:val="20"/>
        </w:rPr>
        <w:t xml:space="preserve"> In any dispute arising from this Addendum, the prevailing party shall recover reasonable attorney fees and costs. </w:t>
      </w:r>
    </w:p>
    <w:p w14:paraId="7BB61ECD" w14:textId="77777777"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Severability:</w:t>
      </w:r>
      <w:r w:rsidRPr="00E263B9">
        <w:rPr>
          <w:rFonts w:ascii="Times New Roman" w:hAnsi="Times New Roman" w:cs="Times New Roman"/>
          <w:sz w:val="20"/>
          <w:szCs w:val="20"/>
        </w:rPr>
        <w:t xml:space="preserve"> If any provision is invalid, the remainder shall remain in effect. </w:t>
      </w:r>
    </w:p>
    <w:p w14:paraId="320F7241" w14:textId="77777777"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Amendments:</w:t>
      </w:r>
      <w:r w:rsidRPr="00E263B9">
        <w:rPr>
          <w:rFonts w:ascii="Times New Roman" w:hAnsi="Times New Roman" w:cs="Times New Roman"/>
          <w:sz w:val="20"/>
          <w:szCs w:val="20"/>
        </w:rPr>
        <w:t xml:space="preserve"> All changes must be in writing. </w:t>
      </w:r>
    </w:p>
    <w:p w14:paraId="047EA382" w14:textId="77777777"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Force Majeure</w:t>
      </w:r>
      <w:r w:rsidRPr="00E263B9">
        <w:rPr>
          <w:rFonts w:ascii="Times New Roman" w:hAnsi="Times New Roman" w:cs="Times New Roman"/>
          <w:sz w:val="20"/>
          <w:szCs w:val="20"/>
        </w:rPr>
        <w:t xml:space="preserve">: Neither party liable for delays due to acts of God, pandemics, or events beyond control. Rent is still due. </w:t>
      </w:r>
    </w:p>
    <w:p w14:paraId="4A62C4AE" w14:textId="4158BA5F"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Short-Term Rentals Prohibited:</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may not use or advertise the unit for short-term rentals (e.g., Airbnb). Violation results in immediate termination and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liability for any fines or lost rent. </w:t>
      </w:r>
    </w:p>
    <w:p w14:paraId="79FBD520" w14:textId="5F66DF8C"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 xml:space="preserve">Military </w:t>
      </w:r>
      <w:r w:rsidR="00B802CC">
        <w:rPr>
          <w:rFonts w:ascii="Times New Roman" w:hAnsi="Times New Roman" w:cs="Times New Roman"/>
          <w:b/>
          <w:bCs/>
          <w:sz w:val="20"/>
          <w:szCs w:val="20"/>
        </w:rPr>
        <w:t>Tenant</w:t>
      </w:r>
      <w:r w:rsidRPr="00E263B9">
        <w:rPr>
          <w:rFonts w:ascii="Times New Roman" w:hAnsi="Times New Roman" w:cs="Times New Roman"/>
          <w:b/>
          <w:bCs/>
          <w:sz w:val="20"/>
          <w:szCs w:val="20"/>
        </w:rPr>
        <w:t xml:space="preserve"> Provisions:</w:t>
      </w:r>
      <w:r w:rsidRPr="00E263B9">
        <w:rPr>
          <w:rFonts w:ascii="Times New Roman" w:hAnsi="Times New Roman" w:cs="Times New Roman"/>
          <w:sz w:val="20"/>
          <w:szCs w:val="20"/>
        </w:rPr>
        <w:t xml:space="preserve"> If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is a servicemember, early termination follows Hawaii Act 57 (2021), with 30 days' notice for PCS or deployment.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must provide orders and prorated deposit refund.</w:t>
      </w:r>
    </w:p>
    <w:p w14:paraId="6235A59E" w14:textId="37F59854"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Noise and Disturbance Policy:</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must not cause disturbances (e.g., loud music after 10 PM). Repeated complaints may lead to eviction. </w:t>
      </w:r>
    </w:p>
    <w:p w14:paraId="2871F9D2" w14:textId="77777777"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Pet-Specific Additions:</w:t>
      </w:r>
      <w:r w:rsidRPr="00E263B9">
        <w:rPr>
          <w:rFonts w:ascii="Times New Roman" w:hAnsi="Times New Roman" w:cs="Times New Roman"/>
          <w:sz w:val="20"/>
          <w:szCs w:val="20"/>
        </w:rPr>
        <w:t xml:space="preserve"> Pets must comply with Pet Addendum (RR305), including no breeding, liability insurance, and pest treatment at move-out. Unauthorized pets incur $500 fine plus $20/day. </w:t>
      </w:r>
    </w:p>
    <w:p w14:paraId="48C36BE6" w14:textId="623E25A7"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Lead-Based Paint and Disclosures:</w:t>
      </w:r>
      <w:r w:rsidRPr="00E263B9">
        <w:rPr>
          <w:rFonts w:ascii="Times New Roman" w:hAnsi="Times New Roman" w:cs="Times New Roman"/>
          <w:sz w:val="20"/>
          <w:szCs w:val="20"/>
        </w:rPr>
        <w:t xml:space="preserve"> If applicable (unit built pre-1978),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acknowledges receipt of Lead-Based Paint Addendum and pamphlet (per federal law). </w:t>
      </w:r>
    </w:p>
    <w:p w14:paraId="6C5E4CA4" w14:textId="388BFF63"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COVID/Health Emergency Clause:</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must comply with any health mandates (e.g., quarantine if exposed); non-compliance is a breach. </w:t>
      </w:r>
    </w:p>
    <w:p w14:paraId="114D2158" w14:textId="12319CB6"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Abandonment Procedures:</w:t>
      </w:r>
      <w:r w:rsidRPr="00E263B9">
        <w:rPr>
          <w:rFonts w:ascii="Times New Roman" w:hAnsi="Times New Roman" w:cs="Times New Roman"/>
          <w:sz w:val="20"/>
          <w:szCs w:val="20"/>
        </w:rPr>
        <w:t xml:space="preserve"> If unit appears abandoned (20+ days absence without notice and unpaid rent), </w:t>
      </w:r>
      <w:r w:rsidR="00850E68">
        <w:rPr>
          <w:rFonts w:ascii="Times New Roman" w:hAnsi="Times New Roman" w:cs="Times New Roman"/>
          <w:sz w:val="20"/>
          <w:szCs w:val="20"/>
        </w:rPr>
        <w:t>Property Manager</w:t>
      </w:r>
      <w:r w:rsidRPr="00E263B9">
        <w:rPr>
          <w:rFonts w:ascii="Times New Roman" w:hAnsi="Times New Roman" w:cs="Times New Roman"/>
          <w:sz w:val="20"/>
          <w:szCs w:val="20"/>
        </w:rPr>
        <w:t xml:space="preserve"> may proceed</w:t>
      </w:r>
      <w:r w:rsidR="00850E68">
        <w:rPr>
          <w:rFonts w:ascii="Times New Roman" w:hAnsi="Times New Roman" w:cs="Times New Roman"/>
          <w:sz w:val="20"/>
          <w:szCs w:val="20"/>
        </w:rPr>
        <w:t xml:space="preserve"> to recover unit</w:t>
      </w:r>
      <w:r w:rsidRPr="00E263B9">
        <w:rPr>
          <w:rFonts w:ascii="Times New Roman" w:hAnsi="Times New Roman" w:cs="Times New Roman"/>
          <w:sz w:val="20"/>
          <w:szCs w:val="20"/>
        </w:rPr>
        <w:t xml:space="preserve">, with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liable for storage/sale costs. </w:t>
      </w:r>
    </w:p>
    <w:p w14:paraId="22A9BE6A" w14:textId="074F2C1B"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 xml:space="preserve">Indemnification: </w:t>
      </w:r>
      <w:r w:rsidRPr="00E263B9">
        <w:rPr>
          <w:rFonts w:ascii="Times New Roman" w:hAnsi="Times New Roman" w:cs="Times New Roman"/>
          <w:sz w:val="20"/>
          <w:szCs w:val="20"/>
        </w:rPr>
        <w:t xml:space="preserve">Indemnification means the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agrees to compensate the Landlord</w:t>
      </w:r>
      <w:r w:rsidR="00850E68">
        <w:rPr>
          <w:rFonts w:ascii="Times New Roman" w:hAnsi="Times New Roman" w:cs="Times New Roman"/>
          <w:sz w:val="20"/>
          <w:szCs w:val="20"/>
        </w:rPr>
        <w:t xml:space="preserve"> and Property Manager</w:t>
      </w:r>
      <w:r w:rsidRPr="00E263B9">
        <w:rPr>
          <w:rFonts w:ascii="Times New Roman" w:hAnsi="Times New Roman" w:cs="Times New Roman"/>
          <w:sz w:val="20"/>
          <w:szCs w:val="20"/>
        </w:rPr>
        <w:t xml:space="preserve"> for any losses, damages, expenses, or liabilities arising from the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's actions or omissions, including defending against claims and holding the Landlord </w:t>
      </w:r>
      <w:r w:rsidR="00850E68">
        <w:rPr>
          <w:rFonts w:ascii="Times New Roman" w:hAnsi="Times New Roman" w:cs="Times New Roman"/>
          <w:sz w:val="20"/>
          <w:szCs w:val="20"/>
        </w:rPr>
        <w:t xml:space="preserve">and Property Manager </w:t>
      </w:r>
      <w:r w:rsidRPr="00E263B9">
        <w:rPr>
          <w:rFonts w:ascii="Times New Roman" w:hAnsi="Times New Roman" w:cs="Times New Roman"/>
          <w:sz w:val="20"/>
          <w:szCs w:val="20"/>
        </w:rPr>
        <w:t xml:space="preserve">harmless from and against any and all losses, liabilities, obligations, penalties, claims, fines, demands, litigation, defenses, costs, judgments, suits, administrative actions, proceedings, actual damages, disbursements, or expenses of any kind or nature, including, without limitation, attorneys’ fees and expenses.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agrees to indemnify, defend, and hold harmless the Landlord</w:t>
      </w:r>
      <w:r w:rsidR="00850E68" w:rsidRPr="00850E68">
        <w:rPr>
          <w:rFonts w:ascii="Times New Roman" w:hAnsi="Times New Roman" w:cs="Times New Roman"/>
          <w:sz w:val="20"/>
          <w:szCs w:val="20"/>
        </w:rPr>
        <w:t xml:space="preserve"> </w:t>
      </w:r>
      <w:r w:rsidR="00850E68">
        <w:rPr>
          <w:rFonts w:ascii="Times New Roman" w:hAnsi="Times New Roman" w:cs="Times New Roman"/>
          <w:sz w:val="20"/>
          <w:szCs w:val="20"/>
        </w:rPr>
        <w:t>and Property Manager</w:t>
      </w:r>
      <w:r w:rsidRPr="00E263B9">
        <w:rPr>
          <w:rFonts w:ascii="Times New Roman" w:hAnsi="Times New Roman" w:cs="Times New Roman"/>
          <w:sz w:val="20"/>
          <w:szCs w:val="20"/>
        </w:rPr>
        <w:t xml:space="preserve">, from any claims, losses, or damages arising from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's use of the property, negligence, or breach of this Addendum. </w:t>
      </w:r>
    </w:p>
    <w:p w14:paraId="50760346" w14:textId="73155B34" w:rsidR="00927D0C"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Fair Housing Disclosure:</w:t>
      </w:r>
      <w:r w:rsidRPr="00E263B9">
        <w:rPr>
          <w:rFonts w:ascii="Times New Roman" w:hAnsi="Times New Roman" w:cs="Times New Roman"/>
          <w:sz w:val="20"/>
          <w:szCs w:val="20"/>
        </w:rPr>
        <w:t xml:space="preserve">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acknowledges receipt of the Fair Housing pamphlet ("Fair Housing: Equal Opportunity for All") and understands their rights and obligations under the Fair Housing Act (Title VIII of the Civil Rights Act of 1968, as amended). Landlord </w:t>
      </w:r>
      <w:r w:rsidR="00850E68">
        <w:rPr>
          <w:rFonts w:ascii="Times New Roman" w:hAnsi="Times New Roman" w:cs="Times New Roman"/>
          <w:sz w:val="20"/>
          <w:szCs w:val="20"/>
        </w:rPr>
        <w:t xml:space="preserve">and Property Manager </w:t>
      </w:r>
      <w:r w:rsidRPr="00E263B9">
        <w:rPr>
          <w:rFonts w:ascii="Times New Roman" w:hAnsi="Times New Roman" w:cs="Times New Roman"/>
          <w:sz w:val="20"/>
          <w:szCs w:val="20"/>
        </w:rPr>
        <w:t xml:space="preserve">complies with all fair housing laws, and discrimination based on race, color, national origin, religion, sex, familial status, or disability is prohibited. The pamphlet is available at: </w:t>
      </w:r>
      <w:hyperlink r:id="rId5" w:history="1">
        <w:r w:rsidRPr="00E263B9">
          <w:rPr>
            <w:rStyle w:val="Hyperlink"/>
            <w:rFonts w:ascii="Times New Roman" w:hAnsi="Times New Roman" w:cs="Times New Roman"/>
            <w:sz w:val="20"/>
            <w:szCs w:val="20"/>
          </w:rPr>
          <w:t>https://www.hud.gov/sites/documents/fheo_booklet_eng.pdf</w:t>
        </w:r>
      </w:hyperlink>
      <w:r w:rsidRPr="00E263B9">
        <w:rPr>
          <w:rFonts w:ascii="Times New Roman" w:hAnsi="Times New Roman" w:cs="Times New Roman"/>
          <w:sz w:val="20"/>
          <w:szCs w:val="20"/>
        </w:rPr>
        <w:t xml:space="preserve">.  </w:t>
      </w:r>
    </w:p>
    <w:p w14:paraId="5871654A" w14:textId="0B212E93" w:rsidR="00CA53C0" w:rsidRPr="00E263B9" w:rsidRDefault="00927D0C" w:rsidP="00927D0C">
      <w:pPr>
        <w:pStyle w:val="ListParagraph"/>
        <w:numPr>
          <w:ilvl w:val="1"/>
          <w:numId w:val="34"/>
        </w:numPr>
        <w:rPr>
          <w:rFonts w:ascii="Times New Roman" w:hAnsi="Times New Roman" w:cs="Times New Roman"/>
          <w:sz w:val="20"/>
          <w:szCs w:val="20"/>
          <w:u w:val="single"/>
        </w:rPr>
      </w:pPr>
      <w:r w:rsidRPr="00E263B9">
        <w:rPr>
          <w:rFonts w:ascii="Times New Roman" w:hAnsi="Times New Roman" w:cs="Times New Roman"/>
          <w:b/>
          <w:bCs/>
          <w:sz w:val="20"/>
          <w:szCs w:val="20"/>
        </w:rPr>
        <w:t>Lead-Based Paint Disclosure:</w:t>
      </w:r>
      <w:r w:rsidRPr="00E263B9">
        <w:rPr>
          <w:rFonts w:ascii="Times New Roman" w:hAnsi="Times New Roman" w:cs="Times New Roman"/>
          <w:sz w:val="20"/>
          <w:szCs w:val="20"/>
        </w:rPr>
        <w:t xml:space="preserve"> If applicable (unit built pre-1978), </w:t>
      </w:r>
      <w:r w:rsidR="00B802CC">
        <w:rPr>
          <w:rFonts w:ascii="Times New Roman" w:hAnsi="Times New Roman" w:cs="Times New Roman"/>
          <w:sz w:val="20"/>
          <w:szCs w:val="20"/>
        </w:rPr>
        <w:t>Tenant</w:t>
      </w:r>
      <w:r w:rsidRPr="00E263B9">
        <w:rPr>
          <w:rFonts w:ascii="Times New Roman" w:hAnsi="Times New Roman" w:cs="Times New Roman"/>
          <w:sz w:val="20"/>
          <w:szCs w:val="20"/>
        </w:rPr>
        <w:t xml:space="preserve"> acknowledges receipt of the Lead-Based Paint pamphlet ("Protect Your Family from Lead in Your Home") and the Lead-Based Paint Addendum (per federal law). The pamphlet explains lead hazards and disclosure requirements under the Residential Lead-Based Paint Hazard Reduction Act of 1992. The pamphlet is available at: </w:t>
      </w:r>
      <w:hyperlink r:id="rId6" w:history="1">
        <w:r w:rsidRPr="00E263B9">
          <w:rPr>
            <w:rStyle w:val="Hyperlink"/>
            <w:rFonts w:ascii="Times New Roman" w:hAnsi="Times New Roman" w:cs="Times New Roman"/>
            <w:sz w:val="20"/>
            <w:szCs w:val="20"/>
          </w:rPr>
          <w:t>https://www.epa.gov/sites/default/files/2020-04/documents/lead-in-your-home-portrait-color-2020-508.pdf</w:t>
        </w:r>
      </w:hyperlink>
      <w:r w:rsidRPr="00E263B9">
        <w:rPr>
          <w:rFonts w:ascii="Times New Roman" w:hAnsi="Times New Roman" w:cs="Times New Roman"/>
          <w:sz w:val="20"/>
          <w:szCs w:val="20"/>
        </w:rPr>
        <w:t xml:space="preserve">. </w:t>
      </w:r>
    </w:p>
    <w:p w14:paraId="2857D0BF" w14:textId="77777777" w:rsidR="00FD70EA" w:rsidRPr="00E263B9" w:rsidRDefault="00FD70EA" w:rsidP="00FD70EA">
      <w:pPr>
        <w:pStyle w:val="ListParagraph"/>
        <w:ind w:left="1440"/>
        <w:rPr>
          <w:rFonts w:ascii="Times New Roman" w:hAnsi="Times New Roman" w:cs="Times New Roman"/>
          <w:sz w:val="20"/>
          <w:szCs w:val="20"/>
          <w:u w:val="single"/>
        </w:rPr>
      </w:pPr>
    </w:p>
    <w:sectPr w:rsidR="00FD70EA" w:rsidRPr="00E263B9" w:rsidSect="00FD2B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8BB"/>
    <w:multiLevelType w:val="multilevel"/>
    <w:tmpl w:val="31E2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1565A"/>
    <w:multiLevelType w:val="multilevel"/>
    <w:tmpl w:val="0A90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F1661"/>
    <w:multiLevelType w:val="multilevel"/>
    <w:tmpl w:val="5D3C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37C7D"/>
    <w:multiLevelType w:val="multilevel"/>
    <w:tmpl w:val="455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C7D33"/>
    <w:multiLevelType w:val="multilevel"/>
    <w:tmpl w:val="C120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53415"/>
    <w:multiLevelType w:val="multilevel"/>
    <w:tmpl w:val="6D32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B3A76"/>
    <w:multiLevelType w:val="hybridMultilevel"/>
    <w:tmpl w:val="198C6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31C01"/>
    <w:multiLevelType w:val="hybridMultilevel"/>
    <w:tmpl w:val="09C29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F6ECD"/>
    <w:multiLevelType w:val="multilevel"/>
    <w:tmpl w:val="E70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55BA4"/>
    <w:multiLevelType w:val="multilevel"/>
    <w:tmpl w:val="E296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E18FD"/>
    <w:multiLevelType w:val="multilevel"/>
    <w:tmpl w:val="C948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702BC"/>
    <w:multiLevelType w:val="multilevel"/>
    <w:tmpl w:val="3B08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16546"/>
    <w:multiLevelType w:val="multilevel"/>
    <w:tmpl w:val="196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95418"/>
    <w:multiLevelType w:val="multilevel"/>
    <w:tmpl w:val="E82C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D6FF6"/>
    <w:multiLevelType w:val="multilevel"/>
    <w:tmpl w:val="F966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24676"/>
    <w:multiLevelType w:val="multilevel"/>
    <w:tmpl w:val="BDF4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E42A4"/>
    <w:multiLevelType w:val="multilevel"/>
    <w:tmpl w:val="C4BE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43B34"/>
    <w:multiLevelType w:val="multilevel"/>
    <w:tmpl w:val="0556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17BA2"/>
    <w:multiLevelType w:val="multilevel"/>
    <w:tmpl w:val="A7E0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C13C2"/>
    <w:multiLevelType w:val="multilevel"/>
    <w:tmpl w:val="407E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E0E20"/>
    <w:multiLevelType w:val="multilevel"/>
    <w:tmpl w:val="3CC6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892491"/>
    <w:multiLevelType w:val="hybridMultilevel"/>
    <w:tmpl w:val="29BECF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95E2F"/>
    <w:multiLevelType w:val="multilevel"/>
    <w:tmpl w:val="F1B8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7447E5"/>
    <w:multiLevelType w:val="multilevel"/>
    <w:tmpl w:val="CE44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90F99"/>
    <w:multiLevelType w:val="multilevel"/>
    <w:tmpl w:val="2946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157662"/>
    <w:multiLevelType w:val="multilevel"/>
    <w:tmpl w:val="9DBC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096D4C"/>
    <w:multiLevelType w:val="multilevel"/>
    <w:tmpl w:val="7632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3C76BD"/>
    <w:multiLevelType w:val="multilevel"/>
    <w:tmpl w:val="020C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D9378F"/>
    <w:multiLevelType w:val="multilevel"/>
    <w:tmpl w:val="6244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FB117D"/>
    <w:multiLevelType w:val="multilevel"/>
    <w:tmpl w:val="57CA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BC000E"/>
    <w:multiLevelType w:val="multilevel"/>
    <w:tmpl w:val="97A2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76ADF"/>
    <w:multiLevelType w:val="hybridMultilevel"/>
    <w:tmpl w:val="90C8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FB32E8"/>
    <w:multiLevelType w:val="multilevel"/>
    <w:tmpl w:val="34B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9C2255"/>
    <w:multiLevelType w:val="multilevel"/>
    <w:tmpl w:val="8256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508323">
    <w:abstractNumId w:val="1"/>
  </w:num>
  <w:num w:numId="2" w16cid:durableId="1384677301">
    <w:abstractNumId w:val="2"/>
  </w:num>
  <w:num w:numId="3" w16cid:durableId="986472626">
    <w:abstractNumId w:val="5"/>
  </w:num>
  <w:num w:numId="4" w16cid:durableId="594553423">
    <w:abstractNumId w:val="15"/>
  </w:num>
  <w:num w:numId="5" w16cid:durableId="1116869205">
    <w:abstractNumId w:val="19"/>
  </w:num>
  <w:num w:numId="6" w16cid:durableId="1050424736">
    <w:abstractNumId w:val="28"/>
  </w:num>
  <w:num w:numId="7" w16cid:durableId="1038890887">
    <w:abstractNumId w:val="32"/>
  </w:num>
  <w:num w:numId="8" w16cid:durableId="1748109715">
    <w:abstractNumId w:val="24"/>
  </w:num>
  <w:num w:numId="9" w16cid:durableId="41252900">
    <w:abstractNumId w:val="29"/>
  </w:num>
  <w:num w:numId="10" w16cid:durableId="1343429766">
    <w:abstractNumId w:val="23"/>
  </w:num>
  <w:num w:numId="11" w16cid:durableId="1190409374">
    <w:abstractNumId w:val="33"/>
  </w:num>
  <w:num w:numId="12" w16cid:durableId="1305812666">
    <w:abstractNumId w:val="22"/>
  </w:num>
  <w:num w:numId="13" w16cid:durableId="88237499">
    <w:abstractNumId w:val="10"/>
  </w:num>
  <w:num w:numId="14" w16cid:durableId="244463077">
    <w:abstractNumId w:val="0"/>
  </w:num>
  <w:num w:numId="15" w16cid:durableId="1448962346">
    <w:abstractNumId w:val="14"/>
  </w:num>
  <w:num w:numId="16" w16cid:durableId="861675405">
    <w:abstractNumId w:val="13"/>
  </w:num>
  <w:num w:numId="17" w16cid:durableId="1597594652">
    <w:abstractNumId w:val="8"/>
  </w:num>
  <w:num w:numId="18" w16cid:durableId="1634826720">
    <w:abstractNumId w:val="25"/>
  </w:num>
  <w:num w:numId="19" w16cid:durableId="151413907">
    <w:abstractNumId w:val="16"/>
  </w:num>
  <w:num w:numId="20" w16cid:durableId="417554553">
    <w:abstractNumId w:val="11"/>
  </w:num>
  <w:num w:numId="21" w16cid:durableId="1743987018">
    <w:abstractNumId w:val="20"/>
  </w:num>
  <w:num w:numId="22" w16cid:durableId="2115323342">
    <w:abstractNumId w:val="18"/>
  </w:num>
  <w:num w:numId="23" w16cid:durableId="1735930316">
    <w:abstractNumId w:val="9"/>
  </w:num>
  <w:num w:numId="24" w16cid:durableId="1615597625">
    <w:abstractNumId w:val="4"/>
  </w:num>
  <w:num w:numId="25" w16cid:durableId="1869484160">
    <w:abstractNumId w:val="27"/>
  </w:num>
  <w:num w:numId="26" w16cid:durableId="1744794129">
    <w:abstractNumId w:val="12"/>
  </w:num>
  <w:num w:numId="27" w16cid:durableId="1582714931">
    <w:abstractNumId w:val="17"/>
  </w:num>
  <w:num w:numId="28" w16cid:durableId="1385907170">
    <w:abstractNumId w:val="3"/>
  </w:num>
  <w:num w:numId="29" w16cid:durableId="873151788">
    <w:abstractNumId w:val="26"/>
  </w:num>
  <w:num w:numId="30" w16cid:durableId="2143503229">
    <w:abstractNumId w:val="30"/>
  </w:num>
  <w:num w:numId="31" w16cid:durableId="1315716042">
    <w:abstractNumId w:val="31"/>
  </w:num>
  <w:num w:numId="32" w16cid:durableId="1394429340">
    <w:abstractNumId w:val="6"/>
  </w:num>
  <w:num w:numId="33" w16cid:durableId="1673684473">
    <w:abstractNumId w:val="21"/>
  </w:num>
  <w:num w:numId="34" w16cid:durableId="1883050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5"/>
    <w:rsid w:val="00155FE7"/>
    <w:rsid w:val="001E25BC"/>
    <w:rsid w:val="00213559"/>
    <w:rsid w:val="00232E85"/>
    <w:rsid w:val="00234929"/>
    <w:rsid w:val="00327EB0"/>
    <w:rsid w:val="003D26F2"/>
    <w:rsid w:val="004266BD"/>
    <w:rsid w:val="0043638E"/>
    <w:rsid w:val="004375CC"/>
    <w:rsid w:val="004A74A5"/>
    <w:rsid w:val="00605AEA"/>
    <w:rsid w:val="006379A6"/>
    <w:rsid w:val="0064225A"/>
    <w:rsid w:val="006535B3"/>
    <w:rsid w:val="006A66CB"/>
    <w:rsid w:val="006E57C0"/>
    <w:rsid w:val="0070085A"/>
    <w:rsid w:val="007F016D"/>
    <w:rsid w:val="007F381D"/>
    <w:rsid w:val="00837D30"/>
    <w:rsid w:val="00850E68"/>
    <w:rsid w:val="00895F23"/>
    <w:rsid w:val="008A1B18"/>
    <w:rsid w:val="009116A3"/>
    <w:rsid w:val="009156EB"/>
    <w:rsid w:val="00927D0C"/>
    <w:rsid w:val="009F24D9"/>
    <w:rsid w:val="00A0105E"/>
    <w:rsid w:val="00A244B4"/>
    <w:rsid w:val="00A3573E"/>
    <w:rsid w:val="00A77B35"/>
    <w:rsid w:val="00A9735E"/>
    <w:rsid w:val="00AE59D4"/>
    <w:rsid w:val="00B074F5"/>
    <w:rsid w:val="00B1260B"/>
    <w:rsid w:val="00B70226"/>
    <w:rsid w:val="00B802CC"/>
    <w:rsid w:val="00B943D3"/>
    <w:rsid w:val="00C0722B"/>
    <w:rsid w:val="00CA53C0"/>
    <w:rsid w:val="00E263B9"/>
    <w:rsid w:val="00E34FF2"/>
    <w:rsid w:val="00E40470"/>
    <w:rsid w:val="00E561C4"/>
    <w:rsid w:val="00E67791"/>
    <w:rsid w:val="00FB1CE4"/>
    <w:rsid w:val="00FD2BE1"/>
    <w:rsid w:val="00FD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5AFA"/>
  <w15:chartTrackingRefBased/>
  <w15:docId w15:val="{3CA5465C-49A9-B54C-95C6-3251F9C4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4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74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4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4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4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4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74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4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4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4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4A5"/>
    <w:rPr>
      <w:rFonts w:eastAsiaTheme="majorEastAsia" w:cstheme="majorBidi"/>
      <w:color w:val="272727" w:themeColor="text1" w:themeTint="D8"/>
    </w:rPr>
  </w:style>
  <w:style w:type="paragraph" w:styleId="Title">
    <w:name w:val="Title"/>
    <w:basedOn w:val="Normal"/>
    <w:next w:val="Normal"/>
    <w:link w:val="TitleChar"/>
    <w:uiPriority w:val="10"/>
    <w:qFormat/>
    <w:rsid w:val="004A7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4A5"/>
    <w:pPr>
      <w:spacing w:before="160"/>
      <w:jc w:val="center"/>
    </w:pPr>
    <w:rPr>
      <w:i/>
      <w:iCs/>
      <w:color w:val="404040" w:themeColor="text1" w:themeTint="BF"/>
    </w:rPr>
  </w:style>
  <w:style w:type="character" w:customStyle="1" w:styleId="QuoteChar">
    <w:name w:val="Quote Char"/>
    <w:basedOn w:val="DefaultParagraphFont"/>
    <w:link w:val="Quote"/>
    <w:uiPriority w:val="29"/>
    <w:rsid w:val="004A74A5"/>
    <w:rPr>
      <w:i/>
      <w:iCs/>
      <w:color w:val="404040" w:themeColor="text1" w:themeTint="BF"/>
    </w:rPr>
  </w:style>
  <w:style w:type="paragraph" w:styleId="ListParagraph">
    <w:name w:val="List Paragraph"/>
    <w:basedOn w:val="Normal"/>
    <w:uiPriority w:val="34"/>
    <w:qFormat/>
    <w:rsid w:val="004A74A5"/>
    <w:pPr>
      <w:ind w:left="720"/>
      <w:contextualSpacing/>
    </w:pPr>
  </w:style>
  <w:style w:type="character" w:styleId="IntenseEmphasis">
    <w:name w:val="Intense Emphasis"/>
    <w:basedOn w:val="DefaultParagraphFont"/>
    <w:uiPriority w:val="21"/>
    <w:qFormat/>
    <w:rsid w:val="004A74A5"/>
    <w:rPr>
      <w:i/>
      <w:iCs/>
      <w:color w:val="2F5496" w:themeColor="accent1" w:themeShade="BF"/>
    </w:rPr>
  </w:style>
  <w:style w:type="paragraph" w:styleId="IntenseQuote">
    <w:name w:val="Intense Quote"/>
    <w:basedOn w:val="Normal"/>
    <w:next w:val="Normal"/>
    <w:link w:val="IntenseQuoteChar"/>
    <w:uiPriority w:val="30"/>
    <w:qFormat/>
    <w:rsid w:val="004A7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4A5"/>
    <w:rPr>
      <w:i/>
      <w:iCs/>
      <w:color w:val="2F5496" w:themeColor="accent1" w:themeShade="BF"/>
    </w:rPr>
  </w:style>
  <w:style w:type="character" w:styleId="IntenseReference">
    <w:name w:val="Intense Reference"/>
    <w:basedOn w:val="DefaultParagraphFont"/>
    <w:uiPriority w:val="32"/>
    <w:qFormat/>
    <w:rsid w:val="004A74A5"/>
    <w:rPr>
      <w:b/>
      <w:bCs/>
      <w:smallCaps/>
      <w:color w:val="2F5496" w:themeColor="accent1" w:themeShade="BF"/>
      <w:spacing w:val="5"/>
    </w:rPr>
  </w:style>
  <w:style w:type="paragraph" w:styleId="NormalWeb">
    <w:name w:val="Normal (Web)"/>
    <w:basedOn w:val="Normal"/>
    <w:uiPriority w:val="99"/>
    <w:semiHidden/>
    <w:unhideWhenUsed/>
    <w:rsid w:val="004A74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A74A5"/>
    <w:rPr>
      <w:b/>
      <w:bCs/>
    </w:rPr>
  </w:style>
  <w:style w:type="character" w:styleId="Emphasis">
    <w:name w:val="Emphasis"/>
    <w:basedOn w:val="DefaultParagraphFont"/>
    <w:uiPriority w:val="20"/>
    <w:qFormat/>
    <w:rsid w:val="004A74A5"/>
    <w:rPr>
      <w:i/>
      <w:iCs/>
    </w:rPr>
  </w:style>
  <w:style w:type="character" w:styleId="Hyperlink">
    <w:name w:val="Hyperlink"/>
    <w:basedOn w:val="DefaultParagraphFont"/>
    <w:uiPriority w:val="99"/>
    <w:unhideWhenUsed/>
    <w:rsid w:val="00FD2BE1"/>
    <w:rPr>
      <w:color w:val="0563C1" w:themeColor="hyperlink"/>
      <w:u w:val="single"/>
    </w:rPr>
  </w:style>
  <w:style w:type="character" w:styleId="UnresolvedMention">
    <w:name w:val="Unresolved Mention"/>
    <w:basedOn w:val="DefaultParagraphFont"/>
    <w:uiPriority w:val="99"/>
    <w:semiHidden/>
    <w:unhideWhenUsed/>
    <w:rsid w:val="00FD2BE1"/>
    <w:rPr>
      <w:color w:val="605E5C"/>
      <w:shd w:val="clear" w:color="auto" w:fill="E1DFDD"/>
    </w:rPr>
  </w:style>
  <w:style w:type="table" w:styleId="TableGrid">
    <w:name w:val="Table Grid"/>
    <w:basedOn w:val="TableNormal"/>
    <w:uiPriority w:val="39"/>
    <w:rsid w:val="00700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2153">
      <w:bodyDiv w:val="1"/>
      <w:marLeft w:val="0"/>
      <w:marRight w:val="0"/>
      <w:marTop w:val="0"/>
      <w:marBottom w:val="0"/>
      <w:divBdr>
        <w:top w:val="none" w:sz="0" w:space="0" w:color="auto"/>
        <w:left w:val="none" w:sz="0" w:space="0" w:color="auto"/>
        <w:bottom w:val="none" w:sz="0" w:space="0" w:color="auto"/>
        <w:right w:val="none" w:sz="0" w:space="0" w:color="auto"/>
      </w:divBdr>
    </w:div>
    <w:div w:id="343438395">
      <w:bodyDiv w:val="1"/>
      <w:marLeft w:val="0"/>
      <w:marRight w:val="0"/>
      <w:marTop w:val="0"/>
      <w:marBottom w:val="0"/>
      <w:divBdr>
        <w:top w:val="none" w:sz="0" w:space="0" w:color="auto"/>
        <w:left w:val="none" w:sz="0" w:space="0" w:color="auto"/>
        <w:bottom w:val="none" w:sz="0" w:space="0" w:color="auto"/>
        <w:right w:val="none" w:sz="0" w:space="0" w:color="auto"/>
      </w:divBdr>
    </w:div>
    <w:div w:id="387150548">
      <w:bodyDiv w:val="1"/>
      <w:marLeft w:val="0"/>
      <w:marRight w:val="0"/>
      <w:marTop w:val="0"/>
      <w:marBottom w:val="0"/>
      <w:divBdr>
        <w:top w:val="none" w:sz="0" w:space="0" w:color="auto"/>
        <w:left w:val="none" w:sz="0" w:space="0" w:color="auto"/>
        <w:bottom w:val="none" w:sz="0" w:space="0" w:color="auto"/>
        <w:right w:val="none" w:sz="0" w:space="0" w:color="auto"/>
      </w:divBdr>
    </w:div>
    <w:div w:id="685639925">
      <w:bodyDiv w:val="1"/>
      <w:marLeft w:val="0"/>
      <w:marRight w:val="0"/>
      <w:marTop w:val="0"/>
      <w:marBottom w:val="0"/>
      <w:divBdr>
        <w:top w:val="none" w:sz="0" w:space="0" w:color="auto"/>
        <w:left w:val="none" w:sz="0" w:space="0" w:color="auto"/>
        <w:bottom w:val="none" w:sz="0" w:space="0" w:color="auto"/>
        <w:right w:val="none" w:sz="0" w:space="0" w:color="auto"/>
      </w:divBdr>
    </w:div>
    <w:div w:id="701635651">
      <w:bodyDiv w:val="1"/>
      <w:marLeft w:val="0"/>
      <w:marRight w:val="0"/>
      <w:marTop w:val="0"/>
      <w:marBottom w:val="0"/>
      <w:divBdr>
        <w:top w:val="none" w:sz="0" w:space="0" w:color="auto"/>
        <w:left w:val="none" w:sz="0" w:space="0" w:color="auto"/>
        <w:bottom w:val="none" w:sz="0" w:space="0" w:color="auto"/>
        <w:right w:val="none" w:sz="0" w:space="0" w:color="auto"/>
      </w:divBdr>
    </w:div>
    <w:div w:id="812915370">
      <w:bodyDiv w:val="1"/>
      <w:marLeft w:val="0"/>
      <w:marRight w:val="0"/>
      <w:marTop w:val="0"/>
      <w:marBottom w:val="0"/>
      <w:divBdr>
        <w:top w:val="none" w:sz="0" w:space="0" w:color="auto"/>
        <w:left w:val="none" w:sz="0" w:space="0" w:color="auto"/>
        <w:bottom w:val="none" w:sz="0" w:space="0" w:color="auto"/>
        <w:right w:val="none" w:sz="0" w:space="0" w:color="auto"/>
      </w:divBdr>
    </w:div>
    <w:div w:id="964509015">
      <w:bodyDiv w:val="1"/>
      <w:marLeft w:val="0"/>
      <w:marRight w:val="0"/>
      <w:marTop w:val="0"/>
      <w:marBottom w:val="0"/>
      <w:divBdr>
        <w:top w:val="none" w:sz="0" w:space="0" w:color="auto"/>
        <w:left w:val="none" w:sz="0" w:space="0" w:color="auto"/>
        <w:bottom w:val="none" w:sz="0" w:space="0" w:color="auto"/>
        <w:right w:val="none" w:sz="0" w:space="0" w:color="auto"/>
      </w:divBdr>
    </w:div>
    <w:div w:id="1003970837">
      <w:bodyDiv w:val="1"/>
      <w:marLeft w:val="0"/>
      <w:marRight w:val="0"/>
      <w:marTop w:val="0"/>
      <w:marBottom w:val="0"/>
      <w:divBdr>
        <w:top w:val="none" w:sz="0" w:space="0" w:color="auto"/>
        <w:left w:val="none" w:sz="0" w:space="0" w:color="auto"/>
        <w:bottom w:val="none" w:sz="0" w:space="0" w:color="auto"/>
        <w:right w:val="none" w:sz="0" w:space="0" w:color="auto"/>
      </w:divBdr>
    </w:div>
    <w:div w:id="1101147578">
      <w:bodyDiv w:val="1"/>
      <w:marLeft w:val="0"/>
      <w:marRight w:val="0"/>
      <w:marTop w:val="0"/>
      <w:marBottom w:val="0"/>
      <w:divBdr>
        <w:top w:val="none" w:sz="0" w:space="0" w:color="auto"/>
        <w:left w:val="none" w:sz="0" w:space="0" w:color="auto"/>
        <w:bottom w:val="none" w:sz="0" w:space="0" w:color="auto"/>
        <w:right w:val="none" w:sz="0" w:space="0" w:color="auto"/>
      </w:divBdr>
    </w:div>
    <w:div w:id="1173640056">
      <w:bodyDiv w:val="1"/>
      <w:marLeft w:val="0"/>
      <w:marRight w:val="0"/>
      <w:marTop w:val="0"/>
      <w:marBottom w:val="0"/>
      <w:divBdr>
        <w:top w:val="none" w:sz="0" w:space="0" w:color="auto"/>
        <w:left w:val="none" w:sz="0" w:space="0" w:color="auto"/>
        <w:bottom w:val="none" w:sz="0" w:space="0" w:color="auto"/>
        <w:right w:val="none" w:sz="0" w:space="0" w:color="auto"/>
      </w:divBdr>
    </w:div>
    <w:div w:id="1471243058">
      <w:bodyDiv w:val="1"/>
      <w:marLeft w:val="0"/>
      <w:marRight w:val="0"/>
      <w:marTop w:val="0"/>
      <w:marBottom w:val="0"/>
      <w:divBdr>
        <w:top w:val="none" w:sz="0" w:space="0" w:color="auto"/>
        <w:left w:val="none" w:sz="0" w:space="0" w:color="auto"/>
        <w:bottom w:val="none" w:sz="0" w:space="0" w:color="auto"/>
        <w:right w:val="none" w:sz="0" w:space="0" w:color="auto"/>
      </w:divBdr>
    </w:div>
    <w:div w:id="1508863923">
      <w:bodyDiv w:val="1"/>
      <w:marLeft w:val="0"/>
      <w:marRight w:val="0"/>
      <w:marTop w:val="0"/>
      <w:marBottom w:val="0"/>
      <w:divBdr>
        <w:top w:val="none" w:sz="0" w:space="0" w:color="auto"/>
        <w:left w:val="none" w:sz="0" w:space="0" w:color="auto"/>
        <w:bottom w:val="none" w:sz="0" w:space="0" w:color="auto"/>
        <w:right w:val="none" w:sz="0" w:space="0" w:color="auto"/>
      </w:divBdr>
    </w:div>
    <w:div w:id="1857884392">
      <w:bodyDiv w:val="1"/>
      <w:marLeft w:val="0"/>
      <w:marRight w:val="0"/>
      <w:marTop w:val="0"/>
      <w:marBottom w:val="0"/>
      <w:divBdr>
        <w:top w:val="none" w:sz="0" w:space="0" w:color="auto"/>
        <w:left w:val="none" w:sz="0" w:space="0" w:color="auto"/>
        <w:bottom w:val="none" w:sz="0" w:space="0" w:color="auto"/>
        <w:right w:val="none" w:sz="0" w:space="0" w:color="auto"/>
      </w:divBdr>
    </w:div>
    <w:div w:id="2013483841">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sites/default/files/2020-04/documents/lead-in-your-home-portrait-color-2020-508.pdf" TargetMode="External"/><Relationship Id="rId5" Type="http://schemas.openxmlformats.org/officeDocument/2006/relationships/hyperlink" Target="https://www.hud.gov/sites/documents/fheo_booklet_eng.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Brayden Bullen</dc:creator>
  <cp:keywords/>
  <dc:description/>
  <cp:lastModifiedBy>Brayden Bullen</cp:lastModifiedBy>
  <cp:revision>18</cp:revision>
  <dcterms:created xsi:type="dcterms:W3CDTF">2025-07-15T23:43:00Z</dcterms:created>
  <dcterms:modified xsi:type="dcterms:W3CDTF">2025-07-19T01:44:00Z</dcterms:modified>
</cp:coreProperties>
</file>